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pBdr>
          <w:top w:val="double" w:sz="6" w:space="1" w:color="000000"/>
        </w:pBdr>
        <w:bidi w:val="0"/>
        <w:jc w:val="left"/>
        <w:rPr/>
      </w:pPr>
      <w:bookmarkStart w:id="0" w:name="mstr-20240801.htm"/>
      <w:bookmarkStart w:id="1" w:name="ksmstr20240801"/>
      <w:bookmarkEnd w:id="0"/>
      <w:bookmarkEnd w:id="1"/>
      <w:r>
        <w:rPr/>
        <w:t> </w:t>
      </w:r>
    </w:p>
    <w:p>
      <w:pPr>
        <w:pStyle w:val="TextBody"/>
        <w:bidi w:val="0"/>
        <w:spacing w:before="115" w:after="283"/>
        <w:jc w:val="center"/>
        <w:rPr>
          <w:rFonts w:ascii="Times New Roman" w:hAnsi="Times New Roman"/>
          <w:sz w:val="20"/>
        </w:rPr>
      </w:pPr>
      <w:r>
        <w:rPr>
          <w:rFonts w:ascii="Times New Roman" w:hAnsi="Times New Roman"/>
          <w:b/>
          <w:color w:val="000000"/>
          <w:sz w:val="36"/>
        </w:rPr>
        <w:t>UNITED STATES</w:t>
        <w:br/>
        <w:t>SECURITIES AND EXCHANGE COMMISSION</w:t>
        <w:br/>
      </w:r>
      <w:r>
        <w:rPr>
          <w:rFonts w:ascii="Times New Roman" w:hAnsi="Times New Roman"/>
          <w:b/>
          <w:color w:val="000000"/>
          <w:sz w:val="24"/>
        </w:rPr>
        <w:t>WASHINGTON, D.C. 20549</w:t>
      </w:r>
    </w:p>
    <w:p>
      <w:pPr>
        <w:pStyle w:val="TextBody"/>
        <w:pBdr>
          <w:bottom w:val="single" w:sz="6" w:space="1" w:color="000000"/>
        </w:pBdr>
        <w:bidi w:val="0"/>
        <w:jc w:val="left"/>
        <w:rPr/>
      </w:pPr>
      <w:r>
        <w:rPr/>
        <w:t> </w:t>
      </w:r>
    </w:p>
    <w:p>
      <w:pPr>
        <w:pStyle w:val="TextBody"/>
        <w:bidi w:val="0"/>
        <w:spacing w:before="200" w:after="283"/>
        <w:jc w:val="center"/>
        <w:rPr>
          <w:rFonts w:ascii="Times New Roman" w:hAnsi="Times New Roman"/>
          <w:b/>
          <w:color w:val="000000"/>
          <w:sz w:val="36"/>
        </w:rPr>
      </w:pPr>
      <w:r>
        <w:rPr>
          <w:rFonts w:ascii="Times New Roman" w:hAnsi="Times New Roman"/>
          <w:b/>
          <w:color w:val="000000"/>
          <w:sz w:val="36"/>
        </w:rPr>
        <w:t>FORM 8-K</w:t>
      </w:r>
    </w:p>
    <w:p>
      <w:pPr>
        <w:pStyle w:val="TextBody"/>
        <w:pBdr>
          <w:bottom w:val="single" w:sz="6" w:space="1" w:color="000000"/>
        </w:pBdr>
        <w:bidi w:val="0"/>
        <w:jc w:val="left"/>
        <w:rPr/>
      </w:pPr>
      <w:r>
        <w:rPr/>
        <w:t> </w:t>
      </w:r>
    </w:p>
    <w:p>
      <w:pPr>
        <w:pStyle w:val="TextBody"/>
        <w:bidi w:val="0"/>
        <w:spacing w:before="180" w:after="283"/>
        <w:jc w:val="center"/>
        <w:rPr>
          <w:rFonts w:ascii="Times New Roman" w:hAnsi="Times New Roman"/>
          <w:b/>
          <w:color w:val="000000"/>
          <w:sz w:val="24"/>
        </w:rPr>
      </w:pPr>
      <w:r>
        <w:rPr>
          <w:rFonts w:ascii="Times New Roman" w:hAnsi="Times New Roman"/>
          <w:b/>
          <w:color w:val="000000"/>
          <w:sz w:val="24"/>
        </w:rPr>
        <w:t>CURRENT REPORT</w:t>
      </w:r>
    </w:p>
    <w:p>
      <w:pPr>
        <w:pStyle w:val="TextBody"/>
        <w:bidi w:val="0"/>
        <w:spacing w:before="180" w:after="120"/>
        <w:jc w:val="center"/>
        <w:rPr>
          <w:rFonts w:ascii="Times New Roman" w:hAnsi="Times New Roman"/>
          <w:b/>
          <w:color w:val="000000"/>
          <w:sz w:val="24"/>
        </w:rPr>
      </w:pPr>
      <w:r>
        <w:rPr>
          <w:rFonts w:ascii="Times New Roman" w:hAnsi="Times New Roman"/>
          <w:b/>
          <w:color w:val="000000"/>
          <w:sz w:val="24"/>
        </w:rPr>
        <w:t>Pursuant to Section 13 or 15(d) of the Securities Exchange Act of 1934</w:t>
      </w:r>
    </w:p>
    <w:tbl>
      <w:tblPr>
        <w:tblW w:w="5609" w:type="dxa"/>
        <w:jc w:val="left"/>
        <w:tblInd w:w="0" w:type="dxa"/>
        <w:tblLayout w:type="fixed"/>
        <w:tblCellMar>
          <w:top w:w="28" w:type="dxa"/>
          <w:left w:w="28" w:type="dxa"/>
          <w:bottom w:w="28" w:type="dxa"/>
          <w:right w:w="28" w:type="dxa"/>
        </w:tblCellMar>
      </w:tblPr>
      <w:tblGrid>
        <w:gridCol w:w="5609"/>
      </w:tblGrid>
      <w:tr>
        <w:trPr/>
        <w:tc>
          <w:tcPr>
            <w:tcW w:w="5609" w:type="dxa"/>
            <w:tcBorders/>
            <w:vAlign w:val="center"/>
          </w:tcPr>
          <w:p>
            <w:pPr>
              <w:pStyle w:val="TableContents"/>
              <w:bidi w:val="0"/>
              <w:spacing w:before="0" w:after="283"/>
              <w:jc w:val="left"/>
              <w:rPr>
                <w:sz w:val="4"/>
                <w:szCs w:val="4"/>
              </w:rPr>
            </w:pPr>
            <w:r>
              <w:rPr>
                <w:sz w:val="4"/>
                <w:szCs w:val="4"/>
              </w:rPr>
            </w:r>
          </w:p>
        </w:tc>
      </w:tr>
      <w:tr>
        <w:trPr/>
        <w:tc>
          <w:tcPr>
            <w:tcW w:w="5609" w:type="dxa"/>
            <w:tcBorders/>
            <w:tcMar>
              <w:top w:w="0" w:type="dxa"/>
              <w:left w:w="0" w:type="dxa"/>
              <w:bottom w:w="0" w:type="dxa"/>
              <w:right w:w="0" w:type="dxa"/>
            </w:tcMar>
            <w:vAlign w:val="center"/>
          </w:tcPr>
          <w:p>
            <w:pPr>
              <w:pStyle w:val="TableContents"/>
              <w:bidi w:val="0"/>
              <w:spacing w:before="0" w:after="283"/>
              <w:ind w:left="0" w:right="43" w:hanging="0"/>
              <w:jc w:val="center"/>
              <w:rPr>
                <w:rFonts w:ascii="Times New Roman" w:hAnsi="Times New Roman"/>
                <w:b/>
                <w:color w:val="000000"/>
                <w:sz w:val="20"/>
              </w:rPr>
            </w:pPr>
            <w:r>
              <w:rPr>
                <w:rFonts w:ascii="Times New Roman" w:hAnsi="Times New Roman"/>
                <w:b/>
                <w:color w:val="000000"/>
                <w:sz w:val="20"/>
              </w:rPr>
              <w:t>Date of Report (Date of earliest event reported): August 01, 2024</w:t>
            </w:r>
          </w:p>
        </w:tc>
      </w:tr>
    </w:tbl>
    <w:p>
      <w:pPr>
        <w:pStyle w:val="TextBody"/>
        <w:pBdr>
          <w:bottom w:val="single" w:sz="6" w:space="1" w:color="000000"/>
        </w:pBdr>
        <w:bidi w:val="0"/>
        <w:spacing w:before="100" w:after="283"/>
        <w:jc w:val="left"/>
        <w:rPr/>
      </w:pPr>
      <w:r>
        <w:rPr/>
        <w:t> </w:t>
      </w:r>
    </w:p>
    <w:p>
      <w:pPr>
        <w:pStyle w:val="TextBody"/>
        <w:bidi w:val="0"/>
        <w:jc w:val="left"/>
        <w:rPr/>
      </w:pPr>
      <w:r>
        <w:rPr/>
        <w:t> </w:t>
      </w:r>
    </w:p>
    <w:p>
      <w:pPr>
        <w:pStyle w:val="TextBody"/>
        <w:bidi w:val="0"/>
        <w:spacing w:before="100" w:after="283"/>
        <w:jc w:val="center"/>
        <w:rPr>
          <w:rFonts w:ascii="Times New Roman" w:hAnsi="Times New Roman"/>
          <w:b/>
          <w:color w:val="000000"/>
          <w:sz w:val="48"/>
        </w:rPr>
      </w:pPr>
      <w:r>
        <w:rPr>
          <w:rFonts w:ascii="Times New Roman" w:hAnsi="Times New Roman"/>
          <w:b/>
          <w:color w:val="000000"/>
          <w:sz w:val="48"/>
        </w:rPr>
        <w:t>MICROSTRATEGY INCORPORATED</w:t>
      </w:r>
    </w:p>
    <w:p>
      <w:pPr>
        <w:pStyle w:val="TextBody"/>
        <w:bidi w:val="0"/>
        <w:spacing w:before="60" w:after="283"/>
        <w:jc w:val="center"/>
        <w:rPr>
          <w:rFonts w:ascii="Times New Roman" w:hAnsi="Times New Roman"/>
          <w:b/>
          <w:color w:val="000000"/>
          <w:sz w:val="15"/>
        </w:rPr>
      </w:pPr>
      <w:r>
        <w:rPr>
          <w:rFonts w:ascii="Times New Roman" w:hAnsi="Times New Roman"/>
          <w:b/>
          <w:color w:val="000000"/>
          <w:sz w:val="15"/>
        </w:rPr>
        <w:t>(Exact name of Registrant as Specified in Its Charter)</w:t>
      </w:r>
    </w:p>
    <w:p>
      <w:pPr>
        <w:pStyle w:val="TextBody"/>
        <w:pBdr>
          <w:bottom w:val="single" w:sz="6" w:space="1" w:color="000000"/>
        </w:pBdr>
        <w:bidi w:val="0"/>
        <w:spacing w:before="180" w:after="283"/>
        <w:jc w:val="left"/>
        <w:rPr/>
      </w:pPr>
      <w:r>
        <w:rPr/>
        <w:t> </w:t>
      </w:r>
    </w:p>
    <w:p>
      <w:pPr>
        <w:pStyle w:val="TextBody"/>
        <w:bidi w:val="0"/>
        <w:jc w:val="left"/>
        <w:rPr/>
      </w:pPr>
      <w:r>
        <w:rPr/>
        <w:t> </w:t>
      </w:r>
    </w:p>
    <w:tbl>
      <w:tblPr>
        <w:tblW w:w="5867" w:type="dxa"/>
        <w:jc w:val="left"/>
        <w:tblInd w:w="0" w:type="dxa"/>
        <w:tblLayout w:type="fixed"/>
        <w:tblCellMar>
          <w:top w:w="28" w:type="dxa"/>
          <w:left w:w="28" w:type="dxa"/>
          <w:bottom w:w="28" w:type="dxa"/>
          <w:right w:w="28" w:type="dxa"/>
        </w:tblCellMar>
      </w:tblPr>
      <w:tblGrid>
        <w:gridCol w:w="950"/>
        <w:gridCol w:w="865"/>
        <w:gridCol w:w="870"/>
        <w:gridCol w:w="1846"/>
        <w:gridCol w:w="1336"/>
      </w:tblGrid>
      <w:tr>
        <w:trPr/>
        <w:tc>
          <w:tcPr>
            <w:tcW w:w="950" w:type="dxa"/>
            <w:tcBorders/>
            <w:vAlign w:val="center"/>
          </w:tcPr>
          <w:p>
            <w:pPr>
              <w:pStyle w:val="TableContents"/>
              <w:bidi w:val="0"/>
              <w:spacing w:before="0" w:after="283"/>
              <w:jc w:val="left"/>
              <w:rPr>
                <w:sz w:val="4"/>
                <w:szCs w:val="4"/>
              </w:rPr>
            </w:pPr>
            <w:r>
              <w:rPr>
                <w:sz w:val="4"/>
                <w:szCs w:val="4"/>
              </w:rPr>
            </w:r>
          </w:p>
        </w:tc>
        <w:tc>
          <w:tcPr>
            <w:tcW w:w="865" w:type="dxa"/>
            <w:tcBorders/>
            <w:vAlign w:val="center"/>
          </w:tcPr>
          <w:p>
            <w:pPr>
              <w:pStyle w:val="TableContents"/>
              <w:bidi w:val="0"/>
              <w:spacing w:before="0" w:after="283"/>
              <w:jc w:val="left"/>
              <w:rPr>
                <w:sz w:val="4"/>
                <w:szCs w:val="4"/>
              </w:rPr>
            </w:pPr>
            <w:r>
              <w:rPr>
                <w:sz w:val="4"/>
                <w:szCs w:val="4"/>
              </w:rPr>
            </w:r>
          </w:p>
        </w:tc>
        <w:tc>
          <w:tcPr>
            <w:tcW w:w="870" w:type="dxa"/>
            <w:tcBorders/>
            <w:vAlign w:val="center"/>
          </w:tcPr>
          <w:p>
            <w:pPr>
              <w:pStyle w:val="TableContents"/>
              <w:bidi w:val="0"/>
              <w:spacing w:before="0" w:after="283"/>
              <w:jc w:val="left"/>
              <w:rPr>
                <w:sz w:val="4"/>
                <w:szCs w:val="4"/>
              </w:rPr>
            </w:pPr>
            <w:r>
              <w:rPr>
                <w:sz w:val="4"/>
                <w:szCs w:val="4"/>
              </w:rPr>
            </w:r>
          </w:p>
        </w:tc>
        <w:tc>
          <w:tcPr>
            <w:tcW w:w="1846" w:type="dxa"/>
            <w:tcBorders/>
            <w:vAlign w:val="center"/>
          </w:tcPr>
          <w:p>
            <w:pPr>
              <w:pStyle w:val="TableContents"/>
              <w:bidi w:val="0"/>
              <w:spacing w:before="0" w:after="283"/>
              <w:jc w:val="left"/>
              <w:rPr>
                <w:sz w:val="4"/>
                <w:szCs w:val="4"/>
              </w:rPr>
            </w:pPr>
            <w:r>
              <w:rPr>
                <w:sz w:val="4"/>
                <w:szCs w:val="4"/>
              </w:rPr>
            </w:r>
          </w:p>
        </w:tc>
        <w:tc>
          <w:tcPr>
            <w:tcW w:w="1336" w:type="dxa"/>
            <w:tcBorders/>
            <w:vAlign w:val="center"/>
          </w:tcPr>
          <w:p>
            <w:pPr>
              <w:pStyle w:val="TableContents"/>
              <w:bidi w:val="0"/>
              <w:spacing w:before="0" w:after="283"/>
              <w:jc w:val="left"/>
              <w:rPr>
                <w:sz w:val="4"/>
                <w:szCs w:val="4"/>
              </w:rPr>
            </w:pPr>
            <w:r>
              <w:rPr>
                <w:sz w:val="4"/>
                <w:szCs w:val="4"/>
              </w:rPr>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Delaware</w:t>
            </w:r>
          </w:p>
        </w:tc>
        <w:tc>
          <w:tcPr>
            <w:tcW w:w="184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0-24435</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51-0323571</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(State or Other Jurisdiction</w:t>
              <w:br/>
              <w:t>of Incorporation)</w:t>
            </w:r>
          </w:p>
        </w:tc>
        <w:tc>
          <w:tcPr>
            <w:tcW w:w="184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(Commission File Number)</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(IRS Employer</w:t>
              <w:br/>
              <w:t>Identification No.)</w:t>
            </w:r>
          </w:p>
        </w:tc>
      </w:tr>
      <w:tr>
        <w:trPr/>
        <w:tc>
          <w:tcPr>
            <w:tcW w:w="950" w:type="dxa"/>
            <w:tcBorders/>
            <w:tcMar>
              <w:top w:w="0" w:type="dxa"/>
              <w:left w:w="0" w:type="dxa"/>
              <w:bottom w:w="0" w:type="dxa"/>
              <w:right w:w="0" w:type="dxa"/>
            </w:tcMar>
            <w:vAlign w:val="center"/>
          </w:tcPr>
          <w:p>
            <w:pPr>
              <w:pStyle w:val="TableContents"/>
              <w:bidi w:val="0"/>
              <w:spacing w:before="0" w:after="283"/>
              <w:jc w:val="center"/>
              <w:rPr/>
            </w:pPr>
            <w:r>
              <w:rPr/>
              <w:t> </w:t>
            </w:r>
          </w:p>
        </w:tc>
        <w:tc>
          <w:tcPr>
            <w:tcW w:w="865" w:type="dxa"/>
            <w:tcBorders/>
            <w:tcMar>
              <w:top w:w="0" w:type="dxa"/>
              <w:left w:w="0" w:type="dxa"/>
              <w:bottom w:w="0" w:type="dxa"/>
              <w:right w:w="0" w:type="dxa"/>
            </w:tcMar>
            <w:vAlign w:val="center"/>
          </w:tcPr>
          <w:p>
            <w:pPr>
              <w:pStyle w:val="TableContents"/>
              <w:bidi w:val="0"/>
              <w:spacing w:before="0" w:after="283"/>
              <w:jc w:val="center"/>
              <w:rPr/>
            </w:pPr>
            <w:r>
              <w:rPr/>
              <w:t> </w:t>
            </w:r>
          </w:p>
        </w:tc>
        <w:tc>
          <w:tcPr>
            <w:tcW w:w="870" w:type="dxa"/>
            <w:tcBorders/>
            <w:tcMar>
              <w:top w:w="0" w:type="dxa"/>
              <w:left w:w="0" w:type="dxa"/>
              <w:bottom w:w="0" w:type="dxa"/>
              <w:right w:w="0" w:type="dxa"/>
            </w:tcMar>
            <w:vAlign w:val="center"/>
          </w:tcPr>
          <w:p>
            <w:pPr>
              <w:pStyle w:val="TableContents"/>
              <w:bidi w:val="0"/>
              <w:spacing w:before="0" w:after="283"/>
              <w:jc w:val="center"/>
              <w:rPr/>
            </w:pPr>
            <w:r>
              <w:rPr/>
              <w:t> </w:t>
            </w:r>
          </w:p>
        </w:tc>
        <w:tc>
          <w:tcPr>
            <w:tcW w:w="1846" w:type="dxa"/>
            <w:tcBorders/>
            <w:tcMar>
              <w:top w:w="0" w:type="dxa"/>
              <w:left w:w="0" w:type="dxa"/>
              <w:bottom w:w="0" w:type="dxa"/>
              <w:right w:w="0" w:type="dxa"/>
            </w:tcMar>
            <w:vAlign w:val="center"/>
          </w:tcPr>
          <w:p>
            <w:pPr>
              <w:pStyle w:val="TableContents"/>
              <w:bidi w:val="0"/>
              <w:spacing w:before="0" w:after="283"/>
              <w:jc w:val="center"/>
              <w:rPr/>
            </w:pPr>
            <w:r>
              <w:rPr/>
              <w:t> </w:t>
            </w:r>
          </w:p>
        </w:tc>
        <w:tc>
          <w:tcPr>
            <w:tcW w:w="1336" w:type="dxa"/>
            <w:tcBorders/>
            <w:tcMar>
              <w:top w:w="0" w:type="dxa"/>
              <w:left w:w="0" w:type="dxa"/>
              <w:bottom w:w="0" w:type="dxa"/>
              <w:right w:w="0" w:type="dxa"/>
            </w:tcMar>
            <w:vAlign w:val="center"/>
          </w:tcPr>
          <w:p>
            <w:pPr>
              <w:pStyle w:val="TableContents"/>
              <w:bidi w:val="0"/>
              <w:spacing w:before="0" w:after="283"/>
              <w:jc w:val="center"/>
              <w:rPr/>
            </w:pPr>
            <w:r>
              <w:rPr/>
              <w:t> </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1850 Towers Crescent Plaza</w:t>
            </w:r>
          </w:p>
        </w:tc>
        <w:tc>
          <w:tcPr>
            <w:tcW w:w="3182" w:type="dxa"/>
            <w:gridSpan w:val="2"/>
            <w:tcBorders/>
            <w:tcMar>
              <w:top w:w="0" w:type="dxa"/>
              <w:left w:w="0" w:type="dxa"/>
              <w:bottom w:w="0" w:type="dxa"/>
              <w:right w:w="0" w:type="dxa"/>
            </w:tcMar>
            <w:vAlign w:val="center"/>
          </w:tcPr>
          <w:p>
            <w:pPr>
              <w:pStyle w:val="TableContents"/>
              <w:bidi w:val="0"/>
              <w:spacing w:before="0" w:after="283"/>
              <w:jc w:val="center"/>
              <w:rPr/>
            </w:pPr>
            <w:r>
              <w:rPr/>
              <w:t> </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Tysons Corner, Virginia</w:t>
            </w:r>
          </w:p>
        </w:tc>
        <w:tc>
          <w:tcPr>
            <w:tcW w:w="1846" w:type="dxa"/>
            <w:tcBorders/>
            <w:tcMar>
              <w:top w:w="0" w:type="dxa"/>
              <w:left w:w="0" w:type="dxa"/>
              <w:bottom w:w="0" w:type="dxa"/>
              <w:right w:w="0" w:type="dxa"/>
            </w:tcMar>
            <w:vAlign w:val="center"/>
          </w:tcPr>
          <w:p>
            <w:pPr>
              <w:pStyle w:val="TableContents"/>
              <w:bidi w:val="0"/>
              <w:spacing w:before="0" w:after="283"/>
              <w:jc w:val="left"/>
              <w:rPr/>
            </w:pPr>
            <w:r>
              <w:rPr/>
              <w:t> </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22182</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(Address of Principal Executive Offices)</w:t>
            </w:r>
          </w:p>
        </w:tc>
        <w:tc>
          <w:tcPr>
            <w:tcW w:w="1846" w:type="dxa"/>
            <w:tcBorders/>
            <w:tcMar>
              <w:top w:w="0" w:type="dxa"/>
              <w:left w:w="0" w:type="dxa"/>
              <w:bottom w:w="0" w:type="dxa"/>
              <w:right w:w="0" w:type="dxa"/>
            </w:tcMar>
            <w:vAlign w:val="center"/>
          </w:tcPr>
          <w:p>
            <w:pPr>
              <w:pStyle w:val="TableContents"/>
              <w:bidi w:val="0"/>
              <w:spacing w:before="0" w:after="283"/>
              <w:jc w:val="center"/>
              <w:rPr/>
            </w:pPr>
            <w:r>
              <w:rPr/>
              <w:t> </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(Zip Code)</w:t>
            </w:r>
          </w:p>
        </w:tc>
      </w:tr>
    </w:tbl>
    <w:p>
      <w:pPr>
        <w:pStyle w:val="TextBody"/>
        <w:bidi w:val="0"/>
        <w:jc w:val="left"/>
        <w:rPr/>
      </w:pPr>
      <w:r>
        <w:rPr/>
        <w:t> </w:t>
      </w:r>
    </w:p>
    <w:tbl>
      <w:tblPr>
        <w:tblW w:w="5999" w:type="dxa"/>
        <w:jc w:val="left"/>
        <w:tblInd w:w="0" w:type="dxa"/>
        <w:tblLayout w:type="fixed"/>
        <w:tblCellMar>
          <w:top w:w="28" w:type="dxa"/>
          <w:left w:w="28" w:type="dxa"/>
          <w:bottom w:w="28" w:type="dxa"/>
          <w:right w:w="28" w:type="dxa"/>
        </w:tblCellMar>
      </w:tblPr>
      <w:tblGrid>
        <w:gridCol w:w="5999"/>
      </w:tblGrid>
      <w:tr>
        <w:trPr/>
        <w:tc>
          <w:tcPr>
            <w:tcW w:w="5999" w:type="dxa"/>
            <w:tcBorders/>
            <w:vAlign w:val="center"/>
          </w:tcPr>
          <w:p>
            <w:pPr>
              <w:pStyle w:val="TableContents"/>
              <w:bidi w:val="0"/>
              <w:spacing w:before="0" w:after="283"/>
              <w:jc w:val="left"/>
              <w:rPr>
                <w:sz w:val="4"/>
                <w:szCs w:val="4"/>
              </w:rPr>
            </w:pPr>
            <w:r>
              <w:rPr>
                <w:sz w:val="4"/>
                <w:szCs w:val="4"/>
              </w:rPr>
            </w:r>
          </w:p>
        </w:tc>
      </w:tr>
      <w:tr>
        <w:trPr/>
        <w:tc>
          <w:tcPr>
            <w:tcW w:w="5999" w:type="dxa"/>
            <w:tcBorders/>
            <w:tcMar>
              <w:top w:w="0" w:type="dxa"/>
              <w:left w:w="0" w:type="dxa"/>
              <w:bottom w:w="0" w:type="dxa"/>
              <w:right w:w="0" w:type="dxa"/>
            </w:tcMar>
            <w:vAlign w:val="center"/>
          </w:tcPr>
          <w:p>
            <w:pPr>
              <w:pStyle w:val="TableContents"/>
              <w:bidi w:val="0"/>
              <w:spacing w:before="0" w:after="283"/>
              <w:ind w:left="0" w:right="43" w:hanging="0"/>
              <w:jc w:val="center"/>
              <w:rPr>
                <w:rFonts w:ascii="Times New Roman" w:hAnsi="Times New Roman"/>
                <w:sz w:val="20"/>
              </w:rPr>
            </w:pPr>
            <w:r>
              <w:rPr>
                <w:rFonts w:ascii="Times New Roman" w:hAnsi="Times New Roman"/>
                <w:b/>
                <w:color w:val="000000"/>
                <w:sz w:val="20"/>
              </w:rPr>
              <w:t>Registrant’s Telephone Number, Including Area Code:</w:t>
            </w:r>
            <w:r>
              <w:rPr>
                <w:rFonts w:ascii="Times New Roman" w:hAnsi="Times New Roman"/>
                <w:color w:val="000000"/>
                <w:sz w:val="20"/>
              </w:rPr>
              <w:t xml:space="preserve"> </w:t>
            </w:r>
            <w:r>
              <w:rPr>
                <w:rFonts w:ascii="Times New Roman" w:hAnsi="Times New Roman"/>
                <w:b/>
                <w:color w:val="000000"/>
                <w:sz w:val="20"/>
              </w:rPr>
              <w:t>703</w:t>
            </w:r>
            <w:r>
              <w:rPr>
                <w:rFonts w:ascii="Times New Roman" w:hAnsi="Times New Roman"/>
                <w:color w:val="000000"/>
                <w:sz w:val="20"/>
              </w:rPr>
              <w:t xml:space="preserve"> </w:t>
            </w:r>
            <w:r>
              <w:rPr>
                <w:rFonts w:ascii="Times New Roman" w:hAnsi="Times New Roman"/>
                <w:b/>
                <w:color w:val="000000"/>
                <w:sz w:val="20"/>
              </w:rPr>
              <w:t>848-8600</w:t>
            </w:r>
          </w:p>
        </w:tc>
      </w:tr>
    </w:tbl>
    <w:p>
      <w:pPr>
        <w:pStyle w:val="TextBody"/>
        <w:bidi w:val="0"/>
        <w:jc w:val="left"/>
        <w:rPr/>
      </w:pPr>
      <w:r>
        <w:rPr/>
        <w:t> </w:t>
      </w:r>
    </w:p>
    <w:tbl>
      <w:tblPr>
        <w:tblW w:w="206" w:type="dxa"/>
        <w:jc w:val="left"/>
        <w:tblInd w:w="0" w:type="dxa"/>
        <w:tblLayout w:type="fixed"/>
        <w:tblCellMar>
          <w:top w:w="28" w:type="dxa"/>
          <w:left w:w="28" w:type="dxa"/>
          <w:bottom w:w="28" w:type="dxa"/>
          <w:right w:w="28" w:type="dxa"/>
        </w:tblCellMar>
      </w:tblPr>
      <w:tblGrid>
        <w:gridCol w:w="206"/>
      </w:tblGrid>
      <w:tr>
        <w:trPr/>
        <w:tc>
          <w:tcPr>
            <w:tcW w:w="206" w:type="dxa"/>
            <w:tcBorders/>
            <w:vAlign w:val="center"/>
          </w:tcPr>
          <w:p>
            <w:pPr>
              <w:pStyle w:val="TableContents"/>
              <w:bidi w:val="0"/>
              <w:spacing w:before="0" w:after="283"/>
              <w:jc w:val="left"/>
              <w:rPr>
                <w:sz w:val="4"/>
                <w:szCs w:val="4"/>
              </w:rPr>
            </w:pPr>
            <w:r>
              <w:rPr>
                <w:sz w:val="4"/>
                <w:szCs w:val="4"/>
              </w:rPr>
            </w:r>
          </w:p>
        </w:tc>
      </w:tr>
      <w:tr>
        <w:trPr/>
        <w:tc>
          <w:tcPr>
            <w:tcW w:w="206" w:type="dxa"/>
            <w:tcBorders/>
            <w:tcMar>
              <w:top w:w="0" w:type="dxa"/>
              <w:left w:w="0" w:type="dxa"/>
              <w:bottom w:w="0" w:type="dxa"/>
              <w:right w:w="0" w:type="dxa"/>
            </w:tcMar>
            <w:vAlign w:val="center"/>
          </w:tcPr>
          <w:p>
            <w:pPr>
              <w:pStyle w:val="TableContents"/>
              <w:bidi w:val="0"/>
              <w:spacing w:before="0" w:after="283"/>
              <w:jc w:val="center"/>
              <w:rPr/>
            </w:pPr>
            <w:r>
              <w:rPr/>
              <w:t> </w:t>
            </w:r>
          </w:p>
        </w:tc>
      </w:tr>
    </w:tbl>
    <w:p>
      <w:pPr>
        <w:pStyle w:val="TextBody"/>
        <w:bidi w:val="0"/>
        <w:jc w:val="center"/>
        <w:rPr>
          <w:rFonts w:ascii="Times New Roman" w:hAnsi="Times New Roman"/>
          <w:b/>
          <w:color w:val="000000"/>
          <w:sz w:val="15"/>
        </w:rPr>
      </w:pPr>
      <w:r>
        <w:rPr>
          <w:rFonts w:ascii="Times New Roman" w:hAnsi="Times New Roman"/>
          <w:b/>
          <w:color w:val="000000"/>
          <w:sz w:val="15"/>
        </w:rPr>
        <w:t>(Former Name or Former Address, if Changed Since Last Report)</w:t>
      </w:r>
    </w:p>
    <w:p>
      <w:pPr>
        <w:pStyle w:val="TextBody"/>
        <w:pBdr>
          <w:bottom w:val="single" w:sz="6" w:space="1" w:color="000000"/>
        </w:pBdr>
        <w:bidi w:val="0"/>
        <w:spacing w:before="187" w:after="283"/>
        <w:jc w:val="left"/>
        <w:rPr/>
      </w:pPr>
      <w:r>
        <w:rPr/>
        <w:t> </w:t>
      </w:r>
    </w:p>
    <w:p>
      <w:pPr>
        <w:pStyle w:val="TextBody"/>
        <w:bidi w:val="0"/>
        <w:spacing w:before="187" w:after="120"/>
        <w:jc w:val="left"/>
        <w:rPr>
          <w:rFonts w:ascii="Times New Roman" w:hAnsi="Times New Roman"/>
          <w:color w:val="000000"/>
          <w:sz w:val="20"/>
        </w:rPr>
      </w:pPr>
      <w:r>
        <w:rPr>
          <w:rFonts w:ascii="Times New Roman" w:hAnsi="Times New Roman"/>
          <w:color w:val="000000"/>
          <w:sz w:val="20"/>
        </w:rPr>
        <w:t xml:space="preserve">Check the appropriate box below if the Form 8-K filing is intended to simultaneously satisfy the filing obligation of the registrant under any of the following provisions: </w:t>
      </w:r>
    </w:p>
    <w:p>
      <w:pPr>
        <w:pStyle w:val="TextBody"/>
        <w:bidi w:val="0"/>
        <w:spacing w:before="180" w:after="283"/>
        <w:ind w:left="0" w:right="0" w:hanging="490"/>
        <w:jc w:val="left"/>
        <w:rPr/>
      </w:pPr>
      <w:r>
        <w:rPr/>
        <w:t>☐</w:t>
      </w:r>
      <w:r>
        <w:rPr>
          <w:rFonts w:ascii="Times New Roman" w:hAnsi="Times New Roman"/>
          <w:color w:val="000000"/>
          <w:sz w:val="20"/>
        </w:rPr>
        <w:t>Written communications pursuant to Rule 425 under the Securities Act (17 CFR 230.425)</w:t>
      </w:r>
    </w:p>
    <w:p>
      <w:pPr>
        <w:pStyle w:val="TextBody"/>
        <w:bidi w:val="0"/>
        <w:spacing w:before="120" w:after="283"/>
        <w:ind w:left="0" w:right="0" w:hanging="490"/>
        <w:jc w:val="left"/>
        <w:rPr/>
      </w:pPr>
      <w:r>
        <w:rPr/>
        <w:t>☐</w:t>
      </w:r>
      <w:r>
        <w:rPr>
          <w:rFonts w:ascii="Times New Roman" w:hAnsi="Times New Roman"/>
          <w:color w:val="000000"/>
          <w:sz w:val="20"/>
        </w:rPr>
        <w:t>Soliciting material pursuant to Rule 14a-12 under the Exchange Act (17 CFR 240.14a-12)</w:t>
      </w:r>
    </w:p>
    <w:p>
      <w:pPr>
        <w:pStyle w:val="TextBody"/>
        <w:bidi w:val="0"/>
        <w:spacing w:before="120" w:after="283"/>
        <w:ind w:left="0" w:right="0" w:hanging="490"/>
        <w:jc w:val="left"/>
        <w:rPr/>
      </w:pPr>
      <w:r>
        <w:rPr/>
        <w:t>☐</w:t>
      </w:r>
      <w:r>
        <w:rPr>
          <w:rFonts w:ascii="Times New Roman" w:hAnsi="Times New Roman"/>
          <w:color w:val="000000"/>
          <w:sz w:val="20"/>
        </w:rPr>
        <w:t>Pre-commencement communications pursuant to Rule 14d-2(b) under the Exchange Act (17 CFR 240.14d-2(b))</w:t>
      </w:r>
    </w:p>
    <w:p>
      <w:pPr>
        <w:pStyle w:val="TextBody"/>
        <w:bidi w:val="0"/>
        <w:spacing w:before="120" w:after="283"/>
        <w:ind w:left="0" w:right="0" w:hanging="490"/>
        <w:jc w:val="left"/>
        <w:rPr/>
      </w:pPr>
      <w:r>
        <w:rPr/>
        <w:t>☐</w:t>
      </w:r>
      <w:r>
        <w:rPr>
          <w:rFonts w:ascii="Times New Roman" w:hAnsi="Times New Roman"/>
          <w:color w:val="000000"/>
          <w:sz w:val="20"/>
        </w:rPr>
        <w:t>Pre-commencement communications pursuant to Rule 13e-4(c) under the Exchange Act (17 CFR 240.13e-4(c))</w:t>
      </w:r>
    </w:p>
    <w:p>
      <w:pPr>
        <w:pStyle w:val="TextBody"/>
        <w:bidi w:val="0"/>
        <w:spacing w:before="180" w:after="180"/>
        <w:jc w:val="center"/>
        <w:rPr>
          <w:rFonts w:ascii="Times New Roman" w:hAnsi="Times New Roman"/>
          <w:b/>
          <w:color w:val="000000"/>
          <w:sz w:val="20"/>
        </w:rPr>
      </w:pPr>
      <w:r>
        <w:rPr>
          <w:rFonts w:ascii="Times New Roman" w:hAnsi="Times New Roman"/>
          <w:b/>
          <w:color w:val="000000"/>
          <w:sz w:val="20"/>
        </w:rPr>
        <w:t>Securities registered pursuant to Section 12(b) of the Act:</w:t>
      </w:r>
    </w:p>
    <w:tbl>
      <w:tblPr>
        <w:tblW w:w="9250" w:type="dxa"/>
        <w:jc w:val="left"/>
        <w:tblInd w:w="0" w:type="dxa"/>
        <w:tblLayout w:type="fixed"/>
        <w:tblCellMar>
          <w:top w:w="28" w:type="dxa"/>
          <w:left w:w="28" w:type="dxa"/>
          <w:bottom w:w="28" w:type="dxa"/>
          <w:right w:w="28" w:type="dxa"/>
        </w:tblCellMar>
      </w:tblPr>
      <w:tblGrid>
        <w:gridCol w:w="4186"/>
        <w:gridCol w:w="146"/>
        <w:gridCol w:w="946"/>
        <w:gridCol w:w="146"/>
        <w:gridCol w:w="3826"/>
      </w:tblGrid>
      <w:tr>
        <w:trPr/>
        <w:tc>
          <w:tcPr>
            <w:tcW w:w="418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9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3826" w:type="dxa"/>
            <w:tcBorders/>
            <w:vAlign w:val="center"/>
          </w:tcPr>
          <w:p>
            <w:pPr>
              <w:pStyle w:val="TableContents"/>
              <w:bidi w:val="0"/>
              <w:spacing w:before="0" w:after="283"/>
              <w:jc w:val="left"/>
              <w:rPr>
                <w:sz w:val="4"/>
                <w:szCs w:val="4"/>
              </w:rPr>
            </w:pPr>
            <w:r>
              <w:rPr>
                <w:sz w:val="4"/>
                <w:szCs w:val="4"/>
              </w:rPr>
            </w:r>
          </w:p>
        </w:tc>
      </w:tr>
      <w:tr>
        <w:trPr/>
        <w:tc>
          <w:tcPr>
            <w:tcW w:w="4186" w:type="dxa"/>
            <w:tcBorders>
              <w:bottom w:val="single" w:sz="2" w:space="0" w:color="000000"/>
            </w:tcBorders>
            <w:tcMar>
              <w:top w:w="0" w:type="dxa"/>
              <w:left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br/>
              <w:t>Title of each class</w:t>
            </w:r>
          </w:p>
        </w:tc>
        <w:tc>
          <w:tcPr>
            <w:tcW w:w="146" w:type="dxa"/>
            <w:tcBorders>
              <w:bottom w:val="single" w:sz="2" w:space="0" w:color="000000"/>
            </w:tcBorders>
            <w:tcMar>
              <w:top w:w="0" w:type="dxa"/>
              <w:left w:w="0" w:type="dxa"/>
              <w:right w:w="0" w:type="dxa"/>
            </w:tcMar>
            <w:vAlign w:val="center"/>
          </w:tcPr>
          <w:p>
            <w:pPr>
              <w:pStyle w:val="TableContents"/>
              <w:bidi w:val="0"/>
              <w:spacing w:before="0" w:after="283"/>
              <w:jc w:val="left"/>
              <w:rPr/>
            </w:pPr>
            <w:r>
              <w:rPr/>
              <w:t> </w:t>
            </w:r>
          </w:p>
        </w:tc>
        <w:tc>
          <w:tcPr>
            <w:tcW w:w="946" w:type="dxa"/>
            <w:tcBorders>
              <w:bottom w:val="single" w:sz="2" w:space="0" w:color="000000"/>
            </w:tcBorders>
            <w:tcMar>
              <w:top w:w="0" w:type="dxa"/>
              <w:left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Trading</w:t>
              <w:br/>
              <w:t>Symbol(s)</w:t>
            </w:r>
          </w:p>
        </w:tc>
        <w:tc>
          <w:tcPr>
            <w:tcW w:w="146" w:type="dxa"/>
            <w:tcBorders>
              <w:bottom w:val="single" w:sz="2" w:space="0" w:color="000000"/>
            </w:tcBorders>
            <w:tcMar>
              <w:top w:w="0" w:type="dxa"/>
              <w:left w:w="0" w:type="dxa"/>
              <w:right w:w="0" w:type="dxa"/>
            </w:tcMar>
            <w:vAlign w:val="center"/>
          </w:tcPr>
          <w:p>
            <w:pPr>
              <w:pStyle w:val="TableContents"/>
              <w:bidi w:val="0"/>
              <w:spacing w:before="0" w:after="283"/>
              <w:jc w:val="left"/>
              <w:rPr/>
            </w:pPr>
            <w:r>
              <w:rPr/>
              <w:t> </w:t>
            </w:r>
          </w:p>
        </w:tc>
        <w:tc>
          <w:tcPr>
            <w:tcW w:w="3826" w:type="dxa"/>
            <w:tcBorders>
              <w:bottom w:val="single" w:sz="2" w:space="0" w:color="000000"/>
            </w:tcBorders>
            <w:tcMar>
              <w:top w:w="0" w:type="dxa"/>
              <w:left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br/>
              <w:t>Name of each exchange on which registered</w:t>
            </w:r>
          </w:p>
        </w:tc>
      </w:tr>
      <w:tr>
        <w:trPr/>
        <w:tc>
          <w:tcPr>
            <w:tcW w:w="418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color w:val="000000"/>
                <w:sz w:val="20"/>
              </w:rPr>
            </w:pPr>
            <w:r>
              <w:rPr>
                <w:rFonts w:ascii="Times New Roman" w:hAnsi="Times New Roman"/>
                <w:color w:val="000000"/>
                <w:sz w:val="20"/>
              </w:rPr>
              <w:t>Class A common stock, par value $0.001 per share</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4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color w:val="000000"/>
                <w:sz w:val="20"/>
              </w:rPr>
            </w:pPr>
            <w:r>
              <w:rPr>
                <w:rFonts w:ascii="Times New Roman" w:hAnsi="Times New Roman"/>
                <w:color w:val="000000"/>
                <w:sz w:val="20"/>
              </w:rPr>
              <w:t>MSTR</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382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color w:val="000000"/>
                <w:sz w:val="20"/>
              </w:rPr>
            </w:pPr>
            <w:r>
              <w:rPr>
                <w:rFonts w:ascii="Times New Roman" w:hAnsi="Times New Roman"/>
                <w:color w:val="000000"/>
                <w:sz w:val="20"/>
              </w:rPr>
              <w:t>The Nasdaq Global Select Market</w:t>
            </w:r>
          </w:p>
        </w:tc>
      </w:tr>
    </w:tbl>
    <w:p>
      <w:pPr>
        <w:pStyle w:val="TextBody"/>
        <w:bidi w:val="0"/>
        <w:spacing w:before="240" w:after="283"/>
        <w:jc w:val="left"/>
        <w:rPr>
          <w:rFonts w:ascii="Times New Roman" w:hAnsi="Times New Roman"/>
          <w:color w:val="000000"/>
          <w:sz w:val="20"/>
        </w:rPr>
      </w:pPr>
      <w:r>
        <w:rPr>
          <w:rFonts w:ascii="Times New Roman" w:hAnsi="Times New Roman"/>
          <w:color w:val="000000"/>
          <w:sz w:val="20"/>
        </w:rPr>
        <w:t xml:space="preserve">Indicate by check mark whether the registrant is an emerging growth company as defined in Rule 405 of the Securities Act of 1933 (§ 230.405 of this chapter) or Rule 12b-2 of the Securities Exchange Act of 1934 (§ 240.12b-2 of this chapter). </w:t>
      </w:r>
    </w:p>
    <w:p>
      <w:pPr>
        <w:pStyle w:val="TextBody"/>
        <w:bidi w:val="0"/>
        <w:spacing w:before="180" w:after="283"/>
        <w:jc w:val="left"/>
        <w:rPr>
          <w:rFonts w:ascii="Times New Roman" w:hAnsi="Times New Roman"/>
          <w:sz w:val="20"/>
        </w:rPr>
      </w:pPr>
      <w:r>
        <w:rPr>
          <w:rFonts w:ascii="Times New Roman" w:hAnsi="Times New Roman"/>
          <w:color w:val="000000"/>
          <w:sz w:val="20"/>
        </w:rPr>
        <w:t xml:space="preserve">Emerging growth company </w:t>
      </w:r>
      <w:r>
        <w:rPr>
          <w:rFonts w:ascii="Times New Roman" w:hAnsi="Times New Roman"/>
          <w:sz w:val="20"/>
        </w:rPr>
        <w:t>☐</w:t>
      </w:r>
    </w:p>
    <w:p>
      <w:pPr>
        <w:pStyle w:val="TextBody"/>
        <w:bidi w:val="0"/>
        <w:spacing w:before="180" w:after="283"/>
        <w:jc w:val="left"/>
        <w:rPr>
          <w:rFonts w:ascii="Times New Roman" w:hAnsi="Times New Roman"/>
          <w:sz w:val="20"/>
        </w:rPr>
      </w:pPr>
      <w:r>
        <w:rPr>
          <w:rFonts w:ascii="Times New Roman" w:hAnsi="Times New Roman"/>
          <w:color w:val="000000"/>
          <w:sz w:val="20"/>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Times New Roman" w:hAnsi="Times New Roman"/>
          <w:sz w:val="20"/>
        </w:rPr>
        <w:t>☐</w:t>
      </w:r>
    </w:p>
    <w:p>
      <w:pPr>
        <w:pStyle w:val="TextBody"/>
        <w:pBdr>
          <w:bottom w:val="double" w:sz="6" w:space="1" w:color="000000"/>
        </w:pBdr>
        <w:bidi w:val="0"/>
        <w:jc w:val="left"/>
        <w:rPr/>
      </w:pPr>
      <w:r>
        <w:rPr/>
        <w:t> </w:t>
      </w:r>
    </w:p>
    <w:p>
      <w:pPr>
        <w:pStyle w:val="HorizontalLine"/>
        <w:pBdr>
          <w:bottom w:val="double" w:sz="2" w:space="0" w:color="808080"/>
        </w:pBdr>
        <w:bidi w:val="0"/>
        <w:spacing w:before="0" w:after="283"/>
        <w:jc w:val="left"/>
        <w:rPr/>
      </w:pPr>
      <w:r>
        <w:rPr/>
      </w:r>
    </w:p>
    <w:p>
      <w:pPr>
        <w:pStyle w:val="TextBody"/>
        <w:bidi w:val="0"/>
        <w:spacing w:before="360" w:after="120"/>
        <w:jc w:val="left"/>
        <w:rPr/>
      </w:pPr>
      <w:r>
        <w:rPr/>
        <w:t> </w:t>
      </w:r>
    </w:p>
    <w:tbl>
      <w:tblPr>
        <w:tblW w:w="5057" w:type="dxa"/>
        <w:jc w:val="left"/>
        <w:tblInd w:w="0" w:type="dxa"/>
        <w:tblLayout w:type="fixed"/>
        <w:tblCellMar>
          <w:top w:w="28" w:type="dxa"/>
          <w:left w:w="28" w:type="dxa"/>
          <w:bottom w:w="28" w:type="dxa"/>
          <w:right w:w="28" w:type="dxa"/>
        </w:tblCellMar>
      </w:tblPr>
      <w:tblGrid>
        <w:gridCol w:w="961"/>
        <w:gridCol w:w="4096"/>
      </w:tblGrid>
      <w:tr>
        <w:trPr/>
        <w:tc>
          <w:tcPr>
            <w:tcW w:w="961" w:type="dxa"/>
            <w:tcBorders/>
            <w:vAlign w:val="center"/>
          </w:tcPr>
          <w:p>
            <w:pPr>
              <w:pStyle w:val="TableContents"/>
              <w:bidi w:val="0"/>
              <w:spacing w:before="0" w:after="283"/>
              <w:jc w:val="left"/>
              <w:rPr>
                <w:sz w:val="4"/>
                <w:szCs w:val="4"/>
              </w:rPr>
            </w:pPr>
            <w:r>
              <w:rPr>
                <w:sz w:val="4"/>
                <w:szCs w:val="4"/>
              </w:rPr>
            </w:r>
          </w:p>
        </w:tc>
        <w:tc>
          <w:tcPr>
            <w:tcW w:w="4096" w:type="dxa"/>
            <w:tcBorders/>
            <w:vAlign w:val="center"/>
          </w:tcPr>
          <w:p>
            <w:pPr>
              <w:pStyle w:val="TableContents"/>
              <w:bidi w:val="0"/>
              <w:spacing w:before="0" w:after="283"/>
              <w:jc w:val="left"/>
              <w:rPr>
                <w:sz w:val="4"/>
                <w:szCs w:val="4"/>
              </w:rPr>
            </w:pPr>
            <w:r>
              <w:rPr>
                <w:sz w:val="4"/>
                <w:szCs w:val="4"/>
              </w:rPr>
            </w:r>
          </w:p>
        </w:tc>
      </w:tr>
      <w:tr>
        <w:trPr/>
        <w:tc>
          <w:tcPr>
            <w:tcW w:w="9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Item 2.02.</w:t>
            </w:r>
          </w:p>
        </w:tc>
        <w:tc>
          <w:tcPr>
            <w:tcW w:w="409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Results of Operations and Financial Condition.</w:t>
            </w:r>
          </w:p>
        </w:tc>
      </w:tr>
    </w:tbl>
    <w:p>
      <w:pPr>
        <w:pStyle w:val="TextBody"/>
        <w:bidi w:val="0"/>
        <w:spacing w:before="120" w:after="283"/>
        <w:jc w:val="left"/>
        <w:rPr>
          <w:rFonts w:ascii="Times New Roman" w:hAnsi="Times New Roman"/>
          <w:color w:val="000000"/>
          <w:sz w:val="20"/>
        </w:rPr>
      </w:pPr>
      <w:r>
        <w:rPr>
          <w:rFonts w:ascii="Times New Roman" w:hAnsi="Times New Roman"/>
          <w:color w:val="000000"/>
          <w:sz w:val="20"/>
        </w:rPr>
        <w:t>On August 1, 2024, MicroStrategy Incorporated (the “Company”) issued a press release announcing the Company’s financial results for the quarter ended June 30, 2024. A copy of this press release is attached as Exhibit 99.1 to this Current Report on Form 8-K.</w:t>
      </w:r>
    </w:p>
    <w:p>
      <w:pPr>
        <w:pStyle w:val="TextBody"/>
        <w:bidi w:val="0"/>
        <w:jc w:val="left"/>
        <w:rPr/>
      </w:pPr>
      <w:r>
        <w:rPr/>
        <w:t> </w:t>
      </w:r>
    </w:p>
    <w:p>
      <w:pPr>
        <w:pStyle w:val="TextBody"/>
        <w:bidi w:val="0"/>
        <w:jc w:val="left"/>
        <w:rPr>
          <w:rFonts w:ascii="Times New Roman" w:hAnsi="Times New Roman"/>
          <w:color w:val="000000"/>
          <w:sz w:val="20"/>
        </w:rPr>
      </w:pPr>
      <w:r>
        <w:rPr>
          <w:rFonts w:ascii="Times New Roman" w:hAnsi="Times New Roman"/>
          <w:color w:val="000000"/>
          <w:sz w:val="20"/>
        </w:rPr>
        <w:t>The information disclosed pursuant to Item 2.02 in this Current Report on Form 8-K (including Exhibit 99.1)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tbl>
      <w:tblPr>
        <w:tblW w:w="4037" w:type="dxa"/>
        <w:jc w:val="left"/>
        <w:tblInd w:w="0" w:type="dxa"/>
        <w:tblLayout w:type="fixed"/>
        <w:tblCellMar>
          <w:top w:w="28" w:type="dxa"/>
          <w:left w:w="28" w:type="dxa"/>
          <w:bottom w:w="28" w:type="dxa"/>
          <w:right w:w="28" w:type="dxa"/>
        </w:tblCellMar>
      </w:tblPr>
      <w:tblGrid>
        <w:gridCol w:w="961"/>
        <w:gridCol w:w="3076"/>
      </w:tblGrid>
      <w:tr>
        <w:trPr/>
        <w:tc>
          <w:tcPr>
            <w:tcW w:w="961" w:type="dxa"/>
            <w:tcBorders/>
            <w:vAlign w:val="center"/>
          </w:tcPr>
          <w:p>
            <w:pPr>
              <w:pStyle w:val="TableContents"/>
              <w:bidi w:val="0"/>
              <w:spacing w:before="0" w:after="283"/>
              <w:jc w:val="left"/>
              <w:rPr>
                <w:sz w:val="4"/>
                <w:szCs w:val="4"/>
              </w:rPr>
            </w:pPr>
            <w:r>
              <w:rPr>
                <w:sz w:val="4"/>
                <w:szCs w:val="4"/>
              </w:rPr>
            </w:r>
          </w:p>
        </w:tc>
        <w:tc>
          <w:tcPr>
            <w:tcW w:w="3076" w:type="dxa"/>
            <w:tcBorders/>
            <w:vAlign w:val="center"/>
          </w:tcPr>
          <w:p>
            <w:pPr>
              <w:pStyle w:val="TableContents"/>
              <w:bidi w:val="0"/>
              <w:spacing w:before="0" w:after="283"/>
              <w:jc w:val="left"/>
              <w:rPr>
                <w:sz w:val="4"/>
                <w:szCs w:val="4"/>
              </w:rPr>
            </w:pPr>
            <w:r>
              <w:rPr>
                <w:sz w:val="4"/>
                <w:szCs w:val="4"/>
              </w:rPr>
            </w:r>
          </w:p>
        </w:tc>
      </w:tr>
      <w:tr>
        <w:trPr/>
        <w:tc>
          <w:tcPr>
            <w:tcW w:w="9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Item 9.01.</w:t>
            </w:r>
          </w:p>
        </w:tc>
        <w:tc>
          <w:tcPr>
            <w:tcW w:w="307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Financial Statements and Exhibits.</w:t>
            </w:r>
          </w:p>
        </w:tc>
      </w:tr>
    </w:tbl>
    <w:p>
      <w:pPr>
        <w:pStyle w:val="TextBody"/>
        <w:bidi w:val="0"/>
        <w:spacing w:before="120" w:after="283"/>
        <w:jc w:val="left"/>
        <w:rPr>
          <w:rFonts w:ascii="Times New Roman" w:hAnsi="Times New Roman"/>
          <w:color w:val="000000"/>
          <w:sz w:val="20"/>
        </w:rPr>
      </w:pPr>
      <w:r>
        <w:rPr>
          <w:rFonts w:ascii="Times New Roman" w:hAnsi="Times New Roman"/>
          <w:color w:val="000000"/>
          <w:sz w:val="20"/>
        </w:rPr>
        <w:t>(d) Exhibits</w:t>
      </w:r>
    </w:p>
    <w:tbl>
      <w:tblPr>
        <w:tblW w:w="10205" w:type="dxa"/>
        <w:jc w:val="left"/>
        <w:tblInd w:w="0" w:type="dxa"/>
        <w:tblLayout w:type="fixed"/>
        <w:tblCellMar>
          <w:top w:w="28" w:type="dxa"/>
          <w:left w:w="28" w:type="dxa"/>
          <w:bottom w:w="28" w:type="dxa"/>
          <w:right w:w="28" w:type="dxa"/>
        </w:tblCellMar>
      </w:tblPr>
      <w:tblGrid>
        <w:gridCol w:w="736"/>
        <w:gridCol w:w="146"/>
        <w:gridCol w:w="9323"/>
      </w:tblGrid>
      <w:tr>
        <w:trPr/>
        <w:tc>
          <w:tcPr>
            <w:tcW w:w="7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9323" w:type="dxa"/>
            <w:tcBorders/>
            <w:vAlign w:val="center"/>
          </w:tcPr>
          <w:p>
            <w:pPr>
              <w:pStyle w:val="TableContents"/>
              <w:bidi w:val="0"/>
              <w:spacing w:before="0" w:after="283"/>
              <w:jc w:val="left"/>
              <w:rPr>
                <w:sz w:val="4"/>
                <w:szCs w:val="4"/>
              </w:rPr>
            </w:pPr>
            <w:r>
              <w:rPr>
                <w:sz w:val="4"/>
                <w:szCs w:val="4"/>
              </w:rPr>
            </w:r>
          </w:p>
        </w:tc>
      </w:tr>
      <w:tr>
        <w:trPr/>
        <w:tc>
          <w:tcPr>
            <w:tcW w:w="736" w:type="dxa"/>
            <w:tcBorders/>
            <w:tcMar>
              <w:top w:w="0" w:type="dxa"/>
              <w:left w:w="0" w:type="dxa"/>
              <w:bottom w:w="0" w:type="dxa"/>
              <w:right w:w="0" w:type="dxa"/>
            </w:tcMar>
            <w:vAlign w:val="center"/>
          </w:tcPr>
          <w:p>
            <w:pPr>
              <w:pStyle w:val="TableContents"/>
              <w:bidi w:val="0"/>
              <w:spacing w:before="0" w:after="283"/>
              <w:jc w:val="left"/>
              <w:rPr/>
            </w:pPr>
            <w:r>
              <w:rPr/>
              <w:t> </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736" w:type="dxa"/>
            <w:tcBorders/>
            <w:tcMar>
              <w:top w:w="0" w:type="dxa"/>
              <w:left w:w="0" w:type="dxa"/>
              <w:bottom w:w="0" w:type="dxa"/>
              <w:right w:w="0" w:type="dxa"/>
            </w:tcMar>
            <w:vAlign w:val="center"/>
          </w:tcPr>
          <w:p>
            <w:pPr>
              <w:pStyle w:val="TableContents"/>
              <w:pBdr>
                <w:bottom w:val="single" w:sz="8" w:space="1" w:color="000000"/>
              </w:pBdr>
              <w:bidi w:val="0"/>
              <w:spacing w:before="0" w:after="283"/>
              <w:jc w:val="center"/>
              <w:rPr>
                <w:rFonts w:ascii="Times New Roman" w:hAnsi="Times New Roman"/>
                <w:color w:val="000000"/>
                <w:sz w:val="20"/>
              </w:rPr>
            </w:pPr>
            <w:r>
              <w:rPr>
                <w:rFonts w:ascii="Times New Roman" w:hAnsi="Times New Roman"/>
                <w:color w:val="000000"/>
                <w:sz w:val="20"/>
              </w:rPr>
              <w:t>Exhibit</w:t>
              <w:br/>
              <w:t>No.</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jc w:val="left"/>
              <w:rPr/>
            </w:pPr>
            <w:r>
              <w:rPr/>
              <w:t> </w:t>
            </w:r>
          </w:p>
          <w:p>
            <w:pPr>
              <w:pStyle w:val="TableContents"/>
              <w:pBdr>
                <w:bottom w:val="single" w:sz="8" w:space="1" w:color="000000"/>
              </w:pBdr>
              <w:bidi w:val="0"/>
              <w:spacing w:before="0" w:after="283"/>
              <w:jc w:val="left"/>
              <w:rPr>
                <w:rFonts w:ascii="Times New Roman" w:hAnsi="Times New Roman"/>
                <w:color w:val="000000"/>
                <w:sz w:val="20"/>
              </w:rPr>
            </w:pPr>
            <w:r>
              <w:rPr>
                <w:rFonts w:ascii="Times New Roman" w:hAnsi="Times New Roman"/>
                <w:color w:val="000000"/>
                <w:sz w:val="20"/>
              </w:rPr>
              <w:t>Description</w:t>
            </w:r>
          </w:p>
        </w:tc>
      </w:tr>
      <w:tr>
        <w:trPr/>
        <w:tc>
          <w:tcPr>
            <w:tcW w:w="736" w:type="dxa"/>
            <w:tcBorders/>
            <w:tcMar>
              <w:top w:w="0" w:type="dxa"/>
              <w:left w:w="0" w:type="dxa"/>
              <w:bottom w:w="0" w:type="dxa"/>
              <w:right w:w="0" w:type="dxa"/>
            </w:tcMar>
            <w:vAlign w:val="center"/>
          </w:tcPr>
          <w:p>
            <w:pPr>
              <w:pStyle w:val="TableContents"/>
              <w:bidi w:val="0"/>
              <w:spacing w:before="0" w:after="283"/>
              <w:jc w:val="left"/>
              <w:rPr/>
            </w:pPr>
            <w:r>
              <w:rPr/>
              <w:t> </w:t>
            </w:r>
          </w:p>
        </w:tc>
        <w:tc>
          <w:tcPr>
            <w:tcW w:w="9469" w:type="dxa"/>
            <w:gridSpan w:val="2"/>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73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99.1</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spacing w:before="0" w:after="283"/>
              <w:jc w:val="left"/>
              <w:rPr/>
            </w:pPr>
            <w:hyperlink w:anchor="mstr-ex99_1.htm">
              <w:r>
                <w:rPr>
                  <w:rStyle w:val="InternetLink"/>
                  <w:rFonts w:ascii="Times New Roman" w:hAnsi="Times New Roman"/>
                  <w:color w:val="0000FF"/>
                  <w:sz w:val="20"/>
                  <w:u w:val="single"/>
                </w:rPr>
                <w:t>Press release, dated August 1, 2024, regarding the Company’s financial results for the quarter ended June 30, 2024.</w:t>
              </w:r>
            </w:hyperlink>
          </w:p>
        </w:tc>
      </w:tr>
      <w:tr>
        <w:trPr/>
        <w:tc>
          <w:tcPr>
            <w:tcW w:w="736" w:type="dxa"/>
            <w:tcBorders/>
            <w:tcMar>
              <w:top w:w="0" w:type="dxa"/>
              <w:left w:w="0" w:type="dxa"/>
              <w:bottom w:w="0" w:type="dxa"/>
              <w:right w:w="0" w:type="dxa"/>
            </w:tcMar>
            <w:vAlign w:val="center"/>
          </w:tcPr>
          <w:p>
            <w:pPr>
              <w:pStyle w:val="TableContents"/>
              <w:bidi w:val="0"/>
              <w:spacing w:before="0" w:after="283"/>
              <w:jc w:val="left"/>
              <w:rPr/>
            </w:pPr>
            <w:r>
              <w:rPr/>
              <w:t> </w:t>
            </w:r>
          </w:p>
        </w:tc>
        <w:tc>
          <w:tcPr>
            <w:tcW w:w="9469" w:type="dxa"/>
            <w:gridSpan w:val="2"/>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73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104</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Cover Page Interactive Data File (embedded within the Inline XBRL document).</w:t>
            </w:r>
          </w:p>
        </w:tc>
      </w:tr>
    </w:tbl>
    <w:p>
      <w:pPr>
        <w:pStyle w:val="TextBody"/>
        <w:bidi w:val="0"/>
        <w:jc w:val="left"/>
        <w:rPr>
          <w:rFonts w:ascii="Times New Roman" w:hAnsi="Times New Roman"/>
          <w:color w:val="000000"/>
          <w:sz w:val="20"/>
        </w:rPr>
      </w:pPr>
      <w:r>
        <w:rPr>
          <w:rFonts w:ascii="Times New Roman" w:hAnsi="Times New Roman"/>
          <w:color w:val="000000"/>
          <w:sz w:val="20"/>
        </w:rPr>
        <w:br/>
        <w:t> </w:t>
      </w:r>
    </w:p>
    <w:p>
      <w:pPr>
        <w:pStyle w:val="TextBody"/>
        <w:bidi w:val="0"/>
        <w:jc w:val="left"/>
        <w:rPr/>
      </w:pPr>
      <w:r>
        <w:rPr/>
        <w:t> </w:t>
      </w:r>
    </w:p>
    <w:p>
      <w:pPr>
        <w:pStyle w:val="TextBody"/>
        <w:bidi w:val="0"/>
        <w:jc w:val="left"/>
        <w:rPr/>
      </w:pPr>
      <w:r>
        <w:rPr/>
        <w:t> </w:t>
      </w:r>
    </w:p>
    <w:p>
      <w:pPr>
        <w:pStyle w:val="TextBody"/>
        <w:bidi w:val="0"/>
        <w:jc w:val="left"/>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spacing w:before="0" w:after="187"/>
        <w:jc w:val="center"/>
        <w:rPr>
          <w:rFonts w:ascii="Times New Roman" w:hAnsi="Times New Roman"/>
          <w:b/>
          <w:color w:val="000000"/>
          <w:sz w:val="20"/>
        </w:rPr>
      </w:pPr>
      <w:r>
        <w:rPr>
          <w:rFonts w:ascii="Times New Roman" w:hAnsi="Times New Roman"/>
          <w:b/>
          <w:color w:val="000000"/>
          <w:sz w:val="20"/>
        </w:rPr>
        <w:t>SIGNATURE</w:t>
      </w:r>
    </w:p>
    <w:p>
      <w:pPr>
        <w:pStyle w:val="TextBody"/>
        <w:bidi w:val="0"/>
        <w:spacing w:before="0" w:after="187"/>
        <w:jc w:val="left"/>
        <w:rPr>
          <w:rFonts w:ascii="Times New Roman" w:hAnsi="Times New Roman"/>
          <w:color w:val="000000"/>
          <w:sz w:val="20"/>
        </w:rPr>
      </w:pPr>
      <w:r>
        <w:rPr>
          <w:rFonts w:ascii="Times New Roman" w:hAnsi="Times New Roman"/>
          <w:color w:val="000000"/>
          <w:sz w:val="20"/>
        </w:rPr>
        <w:t>Pursuant to the requirements of the Securities Exchange Act of 1934, as amended, the Registrant has duly caused this report to be signed on its behalf by the undersigned hereunto duly authorized.</w:t>
      </w:r>
    </w:p>
    <w:tbl>
      <w:tblPr>
        <w:tblW w:w="7219" w:type="dxa"/>
        <w:jc w:val="left"/>
        <w:tblInd w:w="0" w:type="dxa"/>
        <w:tblLayout w:type="fixed"/>
        <w:tblCellMar>
          <w:top w:w="28" w:type="dxa"/>
          <w:left w:w="28" w:type="dxa"/>
          <w:bottom w:w="28" w:type="dxa"/>
          <w:right w:w="28" w:type="dxa"/>
        </w:tblCellMar>
      </w:tblPr>
      <w:tblGrid>
        <w:gridCol w:w="556"/>
        <w:gridCol w:w="1351"/>
        <w:gridCol w:w="451"/>
        <w:gridCol w:w="4861"/>
      </w:tblGrid>
      <w:tr>
        <w:trPr/>
        <w:tc>
          <w:tcPr>
            <w:tcW w:w="556" w:type="dxa"/>
            <w:tcBorders/>
            <w:vAlign w:val="center"/>
          </w:tcPr>
          <w:p>
            <w:pPr>
              <w:pStyle w:val="TableContents"/>
              <w:bidi w:val="0"/>
              <w:spacing w:before="0" w:after="283"/>
              <w:jc w:val="left"/>
              <w:rPr>
                <w:sz w:val="4"/>
                <w:szCs w:val="4"/>
              </w:rPr>
            </w:pPr>
            <w:r>
              <w:rPr>
                <w:sz w:val="4"/>
                <w:szCs w:val="4"/>
              </w:rPr>
            </w:r>
          </w:p>
        </w:tc>
        <w:tc>
          <w:tcPr>
            <w:tcW w:w="1351" w:type="dxa"/>
            <w:tcBorders/>
            <w:vAlign w:val="center"/>
          </w:tcPr>
          <w:p>
            <w:pPr>
              <w:pStyle w:val="TableContents"/>
              <w:bidi w:val="0"/>
              <w:spacing w:before="0" w:after="283"/>
              <w:jc w:val="left"/>
              <w:rPr>
                <w:sz w:val="4"/>
                <w:szCs w:val="4"/>
              </w:rPr>
            </w:pPr>
            <w:r>
              <w:rPr>
                <w:sz w:val="4"/>
                <w:szCs w:val="4"/>
              </w:rPr>
            </w:r>
          </w:p>
        </w:tc>
        <w:tc>
          <w:tcPr>
            <w:tcW w:w="451" w:type="dxa"/>
            <w:tcBorders/>
            <w:vAlign w:val="center"/>
          </w:tcPr>
          <w:p>
            <w:pPr>
              <w:pStyle w:val="TableContents"/>
              <w:bidi w:val="0"/>
              <w:spacing w:before="0" w:after="283"/>
              <w:jc w:val="left"/>
              <w:rPr>
                <w:sz w:val="4"/>
                <w:szCs w:val="4"/>
              </w:rPr>
            </w:pPr>
            <w:r>
              <w:rPr>
                <w:sz w:val="4"/>
                <w:szCs w:val="4"/>
              </w:rPr>
            </w:r>
          </w:p>
        </w:tc>
        <w:tc>
          <w:tcPr>
            <w:tcW w:w="4861" w:type="dxa"/>
            <w:tcBorders/>
            <w:vAlign w:val="center"/>
          </w:tcPr>
          <w:p>
            <w:pPr>
              <w:pStyle w:val="TableContents"/>
              <w:bidi w:val="0"/>
              <w:spacing w:before="0" w:after="283"/>
              <w:jc w:val="left"/>
              <w:rPr>
                <w:sz w:val="4"/>
                <w:szCs w:val="4"/>
              </w:rPr>
            </w:pPr>
            <w:r>
              <w:rPr>
                <w:sz w:val="4"/>
                <w:szCs w:val="4"/>
              </w:rPr>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35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MicroStrategy Incorporated</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35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 xml:space="preserve">(Registrant) </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35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55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Date:</w:t>
            </w:r>
          </w:p>
        </w:tc>
        <w:tc>
          <w:tcPr>
            <w:tcW w:w="135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August 1, 2024</w:t>
            </w:r>
          </w:p>
        </w:tc>
        <w:tc>
          <w:tcPr>
            <w:tcW w:w="45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 xml:space="preserve">By: </w:t>
            </w:r>
          </w:p>
        </w:tc>
        <w:tc>
          <w:tcPr>
            <w:tcW w:w="4861" w:type="dxa"/>
            <w:tcBorders>
              <w:bottom w:val="single" w:sz="2" w:space="0" w:color="000000"/>
            </w:tcBorders>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/s/ Andrew Kang</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35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14" w:after="283"/>
              <w:jc w:val="left"/>
              <w:rPr>
                <w:rFonts w:ascii="Times New Roman" w:hAnsi="Times New Roman"/>
                <w:color w:val="000000"/>
                <w:sz w:val="20"/>
              </w:rPr>
            </w:pPr>
            <w:r>
              <w:rPr>
                <w:rFonts w:ascii="Times New Roman" w:hAnsi="Times New Roman"/>
                <w:color w:val="000000"/>
                <w:sz w:val="20"/>
              </w:rPr>
              <w:t>Andrew Kang</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35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14" w:after="283"/>
              <w:jc w:val="left"/>
              <w:rPr>
                <w:rFonts w:ascii="Times New Roman" w:hAnsi="Times New Roman"/>
                <w:color w:val="000000"/>
                <w:sz w:val="20"/>
              </w:rPr>
            </w:pPr>
            <w:r>
              <w:rPr>
                <w:rFonts w:ascii="Times New Roman" w:hAnsi="Times New Roman"/>
                <w:color w:val="000000"/>
                <w:sz w:val="20"/>
              </w:rPr>
              <w:t>Senior Executive Vice President &amp; Chief Financial Officer</w:t>
            </w:r>
          </w:p>
        </w:tc>
      </w:tr>
    </w:tbl>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right"/>
        <w:rPr>
          <w:rFonts w:ascii="Times New Roman" w:hAnsi="Times New Roman"/>
          <w:b/>
          <w:color w:val="000000"/>
          <w:sz w:val="20"/>
        </w:rPr>
      </w:pPr>
      <w:bookmarkStart w:id="2" w:name="mstr-ex99_1.htm"/>
      <w:bookmarkStart w:id="3" w:name="ksmstrex99_1"/>
      <w:bookmarkEnd w:id="2"/>
      <w:bookmarkEnd w:id="3"/>
      <w:r>
        <w:rPr>
          <w:rFonts w:ascii="Times New Roman" w:hAnsi="Times New Roman"/>
          <w:b/>
          <w:color w:val="000000"/>
          <w:sz w:val="20"/>
        </w:rPr>
        <w:t>Exhibit 99.1</w:t>
      </w:r>
      <w:r>
        <w:br w:type="page"/>
      </w:r>
    </w:p>
    <w:p>
      <w:pPr>
        <w:pStyle w:val="TextBody"/>
        <w:bidi w:val="0"/>
        <w:spacing w:before="40" w:after="283"/>
        <w:jc w:val="both"/>
        <w:rPr/>
      </w:pPr>
      <w:r>
        <w:rPr/>
        <w:t> </w:t>
      </w:r>
    </w:p>
    <w:p>
      <w:pPr>
        <w:pStyle w:val="TextBody"/>
        <w:bidi w:val="0"/>
        <w:spacing w:before="40" w:after="283"/>
        <w:jc w:val="both"/>
        <w:rPr>
          <w:rFonts w:ascii="Times New Roman" w:hAnsi="Times New Roman"/>
          <w:b/>
          <w:color w:val="000000"/>
          <w:sz w:val="20"/>
        </w:rPr>
      </w:pPr>
      <w:r>
        <w:rPr>
          <w:rFonts w:ascii="Times New Roman" w:hAnsi="Times New Roman"/>
          <w:b/>
          <w:color w:val="000000"/>
          <w:sz w:val="20"/>
        </w:rPr>
        <w:t>Contact:</w:t>
      </w:r>
    </w:p>
    <w:p>
      <w:pPr>
        <w:pStyle w:val="TextBody"/>
        <w:bidi w:val="0"/>
        <w:jc w:val="both"/>
        <w:rPr>
          <w:rFonts w:ascii="Times New Roman" w:hAnsi="Times New Roman"/>
          <w:color w:val="000000"/>
          <w:sz w:val="20"/>
        </w:rPr>
      </w:pPr>
      <w:r>
        <w:rPr>
          <w:rFonts w:ascii="Times New Roman" w:hAnsi="Times New Roman"/>
          <w:color w:val="000000"/>
          <w:sz w:val="20"/>
        </w:rPr>
        <w:t>MicroStrategy Incorporated</w:t>
      </w:r>
    </w:p>
    <w:p>
      <w:pPr>
        <w:pStyle w:val="TextBody"/>
        <w:bidi w:val="0"/>
        <w:jc w:val="both"/>
        <w:rPr>
          <w:rFonts w:ascii="Times New Roman" w:hAnsi="Times New Roman"/>
          <w:color w:val="000000"/>
          <w:sz w:val="20"/>
        </w:rPr>
      </w:pPr>
      <w:r>
        <w:rPr>
          <w:rFonts w:ascii="Times New Roman" w:hAnsi="Times New Roman"/>
          <w:color w:val="000000"/>
          <w:sz w:val="20"/>
        </w:rPr>
        <w:t>Shirish Jajodia</w:t>
      </w:r>
    </w:p>
    <w:p>
      <w:pPr>
        <w:pStyle w:val="TextBody"/>
        <w:bidi w:val="0"/>
        <w:jc w:val="both"/>
        <w:rPr>
          <w:rFonts w:ascii="Times New Roman" w:hAnsi="Times New Roman"/>
          <w:color w:val="000000"/>
          <w:sz w:val="20"/>
        </w:rPr>
      </w:pPr>
      <w:r>
        <w:rPr>
          <w:rFonts w:ascii="Times New Roman" w:hAnsi="Times New Roman"/>
          <w:color w:val="000000"/>
          <w:sz w:val="20"/>
        </w:rPr>
        <w:t>Investor Relations</w:t>
      </w:r>
    </w:p>
    <w:p>
      <w:pPr>
        <w:pStyle w:val="TextBody"/>
        <w:bidi w:val="0"/>
        <w:jc w:val="both"/>
        <w:rPr>
          <w:rFonts w:ascii="Times New Roman" w:hAnsi="Times New Roman"/>
          <w:color w:val="000000"/>
          <w:sz w:val="20"/>
        </w:rPr>
      </w:pPr>
      <w:r>
        <w:rPr>
          <w:rFonts w:ascii="Times New Roman" w:hAnsi="Times New Roman"/>
          <w:color w:val="000000"/>
          <w:sz w:val="20"/>
        </w:rPr>
        <w:t>ir@microstrategy.com</w:t>
      </w:r>
    </w:p>
    <w:p>
      <w:pPr>
        <w:pStyle w:val="TextBody"/>
        <w:bidi w:val="0"/>
        <w:jc w:val="center"/>
        <w:rPr>
          <w:rFonts w:ascii="Times New Roman" w:hAnsi="Times New Roman"/>
          <w:sz w:val="20"/>
        </w:rPr>
      </w:pPr>
      <w:r>
        <w:rPr>
          <w:rFonts w:ascii="Times New Roman" w:hAnsi="Times New Roman"/>
          <w:b/>
          <w:color w:val="000000"/>
          <w:sz w:val="32"/>
        </w:rPr>
        <w:t>MicroStrategy Announces</w:t>
      </w:r>
      <w:r>
        <w:rPr>
          <w:rFonts w:ascii="Times New Roman" w:hAnsi="Times New Roman"/>
          <w:color w:val="000000"/>
          <w:sz w:val="20"/>
        </w:rPr>
        <w:t xml:space="preserve"> </w:t>
      </w:r>
    </w:p>
    <w:p>
      <w:pPr>
        <w:pStyle w:val="TextBody"/>
        <w:bidi w:val="0"/>
        <w:jc w:val="center"/>
        <w:rPr>
          <w:rFonts w:ascii="Times New Roman" w:hAnsi="Times New Roman"/>
          <w:b/>
          <w:color w:val="000000"/>
          <w:sz w:val="32"/>
        </w:rPr>
      </w:pPr>
      <w:r>
        <w:rPr>
          <w:rFonts w:ascii="Times New Roman" w:hAnsi="Times New Roman"/>
          <w:b/>
          <w:color w:val="000000"/>
          <w:sz w:val="32"/>
        </w:rPr>
        <w:t>Second Quarter 2024 Financial Results;</w:t>
      </w:r>
    </w:p>
    <w:p>
      <w:pPr>
        <w:pStyle w:val="TextBody"/>
        <w:bidi w:val="0"/>
        <w:jc w:val="center"/>
        <w:rPr>
          <w:rFonts w:ascii="Times New Roman" w:hAnsi="Times New Roman"/>
          <w:b/>
          <w:color w:val="000000"/>
          <w:sz w:val="32"/>
        </w:rPr>
      </w:pPr>
      <w:r>
        <w:rPr>
          <w:rFonts w:ascii="Times New Roman" w:hAnsi="Times New Roman"/>
          <w:b/>
          <w:color w:val="000000"/>
          <w:sz w:val="32"/>
        </w:rPr>
        <w:t>Now Holds 226,500 BTC</w:t>
      </w:r>
    </w:p>
    <w:p>
      <w:pPr>
        <w:pStyle w:val="TextBody"/>
        <w:bidi w:val="0"/>
        <w:jc w:val="center"/>
        <w:rPr/>
      </w:pPr>
      <w:r>
        <w:rPr/>
        <w:t> </w:t>
      </w:r>
    </w:p>
    <w:p>
      <w:pPr>
        <w:pStyle w:val="TextBody"/>
        <w:bidi w:val="0"/>
        <w:spacing w:before="0" w:after="0"/>
        <w:jc w:val="both"/>
        <w:rPr>
          <w:color w:val="000000"/>
        </w:rPr>
      </w:pPr>
      <w:r>
        <w:rPr>
          <w:color w:val="000000"/>
        </w:rPr>
        <w:t>•</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Previously announced 10-for-1 forward stock split effective August 7, 2024</w:t>
      </w:r>
    </w:p>
    <w:p>
      <w:pPr>
        <w:pStyle w:val="TextBody"/>
        <w:bidi w:val="0"/>
        <w:spacing w:before="0" w:after="0"/>
        <w:jc w:val="both"/>
        <w:rPr>
          <w:color w:val="000000"/>
        </w:rPr>
      </w:pPr>
      <w:r>
        <w:rPr>
          <w:color w:val="000000"/>
        </w:rPr>
        <w:t>•</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12,222 bitcoins acquired since the beginning of Q2 for $805.2 million, or $65,882 per bitcoin</w:t>
      </w:r>
    </w:p>
    <w:p>
      <w:pPr>
        <w:pStyle w:val="TextBody"/>
        <w:bidi w:val="0"/>
        <w:spacing w:before="0" w:after="0"/>
        <w:jc w:val="both"/>
        <w:rPr>
          <w:color w:val="000000"/>
        </w:rPr>
      </w:pPr>
      <w:r>
        <w:rPr>
          <w:color w:val="000000"/>
        </w:rPr>
        <w:t>•</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226,500 bitcoin holdings at a total cost of $8.3 billion, or $36,821 per bitcoin, as of July 31, 2024</w:t>
      </w:r>
    </w:p>
    <w:p>
      <w:pPr>
        <w:pStyle w:val="TextBody"/>
        <w:bidi w:val="0"/>
        <w:spacing w:before="0" w:after="0"/>
        <w:jc w:val="both"/>
        <w:rPr>
          <w:color w:val="000000"/>
        </w:rPr>
      </w:pPr>
      <w:r>
        <w:rPr>
          <w:color w:val="000000"/>
        </w:rPr>
        <w:t>•</w:t>
      </w:r>
    </w:p>
    <w:p>
      <w:pPr>
        <w:pStyle w:val="TextBody"/>
        <w:bidi w:val="0"/>
        <w:spacing w:before="0" w:after="0"/>
        <w:jc w:val="both"/>
        <w:rPr>
          <w:color w:val="000000"/>
        </w:rPr>
      </w:pPr>
      <w:r>
        <w:rPr>
          <w:color w:val="000000"/>
        </w:rPr>
        <w:t>“</w:t>
      </w:r>
      <w:r>
        <w:rPr>
          <w:rFonts w:ascii="Times New Roman" w:hAnsi="Times New Roman"/>
          <w:color w:val="000000"/>
          <w:sz w:val="20"/>
        </w:rPr>
        <w:t>BTC Yield” (a key performance indicator for our bitcoin strategy) year-to-date of 12.2%</w:t>
      </w:r>
    </w:p>
    <w:p>
      <w:pPr>
        <w:pStyle w:val="TextBody"/>
        <w:bidi w:val="0"/>
        <w:spacing w:before="0" w:after="0"/>
        <w:jc w:val="both"/>
        <w:rPr>
          <w:color w:val="000000"/>
        </w:rPr>
      </w:pPr>
      <w:r>
        <w:rPr>
          <w:color w:val="000000"/>
        </w:rPr>
        <w:t>•</w:t>
      </w:r>
    </w:p>
    <w:p>
      <w:pPr>
        <w:pStyle w:val="TextBody"/>
        <w:bidi w:val="0"/>
        <w:jc w:val="both"/>
        <w:rPr>
          <w:rFonts w:ascii="Times New Roman" w:hAnsi="Times New Roman"/>
          <w:color w:val="000000"/>
          <w:sz w:val="20"/>
        </w:rPr>
      </w:pPr>
      <w:r>
        <w:rPr>
          <w:rFonts w:ascii="Times New Roman" w:hAnsi="Times New Roman"/>
          <w:color w:val="000000"/>
          <w:sz w:val="20"/>
        </w:rPr>
        <w:t>Subscription Services Revenues of $24.1 million, up 21% year-over-year</w:t>
      </w:r>
    </w:p>
    <w:p>
      <w:pPr>
        <w:pStyle w:val="TextBody"/>
        <w:bidi w:val="0"/>
        <w:spacing w:before="240" w:after="283"/>
        <w:jc w:val="both"/>
        <w:rPr>
          <w:rFonts w:ascii="Times New Roman" w:hAnsi="Times New Roman"/>
          <w:sz w:val="20"/>
        </w:rPr>
      </w:pPr>
      <w:r>
        <w:rPr>
          <w:rFonts w:ascii="Times New Roman" w:hAnsi="Times New Roman"/>
          <w:color w:val="000000"/>
          <w:sz w:val="20"/>
        </w:rPr>
        <w:t xml:space="preserve">TYSONS CORNER, Va., August 1, 2024 - </w:t>
      </w:r>
      <w:r>
        <w:rPr>
          <w:rFonts w:ascii="Times New Roman" w:hAnsi="Times New Roman"/>
          <w:sz w:val="20"/>
        </w:rPr>
        <w:t>MicroStrategy</w:t>
      </w:r>
      <w:r>
        <w:rPr>
          <w:rFonts w:ascii="Times New Roman" w:hAnsi="Times New Roman"/>
          <w:sz w:val="13"/>
        </w:rPr>
        <w:t>®</w:t>
      </w:r>
      <w:r>
        <w:rPr>
          <w:rFonts w:ascii="Times New Roman" w:hAnsi="Times New Roman"/>
          <w:sz w:val="20"/>
        </w:rPr>
        <w:t xml:space="preserve"> Incorporated</w:t>
      </w:r>
      <w:r>
        <w:rPr>
          <w:rFonts w:ascii="Times New Roman" w:hAnsi="Times New Roman"/>
          <w:color w:val="000000"/>
          <w:sz w:val="20"/>
        </w:rPr>
        <w:t xml:space="preserve"> (Nasdaq: MSTR) (“MicroStrategy” or the “Company”), the largest corporate holder of bitcoin and the world’s first bitcoin development company, today announced financial results for the three-month period ended June 30, 2024 (the second quarter of its 2024 fiscal year).</w:t>
      </w:r>
    </w:p>
    <w:p>
      <w:pPr>
        <w:pStyle w:val="TextBody"/>
        <w:bidi w:val="0"/>
        <w:spacing w:before="240" w:after="283"/>
        <w:jc w:val="both"/>
        <w:rPr/>
      </w:pPr>
      <w:r>
        <w:rPr>
          <w:color w:val="000000"/>
        </w:rPr>
        <w:t>“</w:t>
      </w:r>
      <w:r>
        <w:rPr>
          <w:rFonts w:ascii="Times New Roman" w:hAnsi="Times New Roman"/>
          <w:color w:val="000000"/>
          <w:sz w:val="20"/>
        </w:rPr>
        <w:t xml:space="preserve">After yet another successful quarter for our bitcoin strategy, MicroStrategy today holds 226,500 bitcoins reflecting a current market value 70% higher than our cost basis. We remain laser focused on our Bitcoin development strategy and intend to continue to achieve positive “BTC Yield,” which is a new KPI that we are introducing, targeting 4-8% annually, over each of the next three years. On the adoption front, we are extremely optimistic with the improved understanding of bitcoin and the increasing support for the ecosystem from bipartisan politicians and institutions on display at the Bitcoin 2024 Conference in Nashville. We also continue to see increased global adoption of our cloud-powered BI and AI software, achieving another quarter of strong double-digit growth in both subscription revenue and subscription billings,” said Phong Le, President and Chief Executive Officer, MicroStrategy. </w:t>
      </w:r>
    </w:p>
    <w:p>
      <w:pPr>
        <w:pStyle w:val="TextBody"/>
        <w:bidi w:val="0"/>
        <w:spacing w:before="240" w:after="283"/>
        <w:jc w:val="both"/>
        <w:rPr>
          <w:color w:val="000000"/>
        </w:rPr>
      </w:pPr>
      <w:r>
        <w:rPr>
          <w:color w:val="000000"/>
        </w:rPr>
        <w:t>“</w:t>
      </w:r>
      <w:r>
        <w:rPr>
          <w:rFonts w:ascii="Times New Roman" w:hAnsi="Times New Roman"/>
          <w:color w:val="000000"/>
          <w:sz w:val="20"/>
        </w:rPr>
        <w:t>In Q2, we successfully raised an additional $800 million through our offering of 2.25% convertible senior notes due 2032 and called for redemption our $650 million convertible senior notes due 2025. Since the beginning of Q2, we grew our bitcoin holdings by adding 12,222 bitcoins through proceeds from our capital markets activities and excess cash. Additionally, we announced a 10-for-1 stock split earlier this month. We continue to closely manage our equity capital, and are filing a registration statement for a new $2 billion at-the-market equity offering program. Through our use of intelligent leverage, we have again achieved a “BTC Yield” of 12.2% year-to-date, which we believe demonstrates significant bitcoin accretion to shareholders,” said Andrew Kang, Chief Financial Officer, MicroStrategy.</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The Company previously announced that its board of directors had declared a 10-for-1 stock split of the Company’s class A common stock and class B common stock. The stock split will be effected by means of a stock dividend to the holders of record of the Company’s class A common stock and class B common stock as of the close of business on August 1, 2024, the record date for the dividend. The dividend is expected to be distributed after the close of trading on August 7, 2024. Trading is expected to commence on a split-adjusted basis at market open on August 8, 2024. All information contained herein is presented on a pre-split basis.</w:t>
      </w:r>
    </w:p>
    <w:p>
      <w:pPr>
        <w:pStyle w:val="TextBody"/>
        <w:bidi w:val="0"/>
        <w:spacing w:before="240" w:after="283"/>
        <w:jc w:val="both"/>
        <w:rPr>
          <w:rFonts w:ascii="Times New Roman" w:hAnsi="Times New Roman"/>
          <w:sz w:val="20"/>
        </w:rPr>
      </w:pPr>
      <w:r>
        <w:rPr>
          <w:rFonts w:ascii="Times New Roman" w:hAnsi="Times New Roman"/>
          <w:b/>
          <w:color w:val="000000"/>
          <w:sz w:val="20"/>
        </w:rPr>
        <w:t>Second Quarter 2024 Financial Highlights</w:t>
      </w:r>
      <w:r>
        <w:rPr>
          <w:rFonts w:ascii="Times New Roman" w:hAnsi="Times New Roman"/>
          <w:color w:val="000000"/>
          <w:sz w:val="20"/>
        </w:rPr>
        <w:t xml:space="preserve"> </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 xml:space="preserve">Bitcoin Yield KPI: </w:t>
      </w:r>
      <w:r>
        <w:rPr>
          <w:rFonts w:ascii="Times New Roman" w:hAnsi="Times New Roman"/>
          <w:color w:val="000000"/>
          <w:sz w:val="20"/>
        </w:rPr>
        <w:t xml:space="preserve">BTC Yield is a key performance indicator (“KPI”) that represents the % change period-to-period of the ratio between the Company’s bitcoin holdings and its Assumed Diluted Shares Outstanding. Assumed Diluted Shares Outstanding refers to the aggregate of the Company’s actual shares of common stock outstanding as of the end of the applicable period plus all additional shares that would result from the assumed conversion of all outstanding convertible notes, exercise of all outstanding stock option awards, and settlement of all outstanding restricted stock units and performance stock units. The Company uses BTC Yield as a KPI to help assess the performance of its strategy of acquiring bitcoin in a manner the Company believes is accretive to shareholders. The Company believes this KPI can be used to supplement an investor’s understanding of the Company’s decision to fund the purchase of bitcoin by issuing additional shares of its common stock or instruments convertible to common stock. </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Year-to-date 2024, the Company’s BTC Yield is 12.2%. The Company is targeting to achieve an annual BTC Yield of 4-8% from 2025-2027.</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Digital Assets:</w:t>
      </w:r>
      <w:r>
        <w:rPr>
          <w:color w:val="000000"/>
        </w:rPr>
        <w:t xml:space="preserve"> </w:t>
      </w:r>
      <w:r>
        <w:rPr>
          <w:rFonts w:ascii="Times New Roman" w:hAnsi="Times New Roman"/>
          <w:color w:val="000000"/>
          <w:sz w:val="20"/>
        </w:rPr>
        <w:t>As of June 30, 2024, the carrying value of the Company’s digital assets (comprised of approximately 226,331 bitcoins) was $5.688 billion, which reflects cumulative impairment losses of $2.641 billion since acquisition and an average carrying amount per bitcoin of approximately $25,131. As of June 30, 2024, the original cost basis and market value of the Company’s bitcoin were $8.329 billion and $14.016 billion, respectively, which reflects an average cost per bitcoin of approximately $36,798 and a market price per bitcoin of $61,926.69, respectively.</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 xml:space="preserve">Issuance of 2032 Convertible Notes: </w:t>
      </w:r>
      <w:r>
        <w:rPr>
          <w:rFonts w:ascii="Times New Roman" w:hAnsi="Times New Roman"/>
          <w:color w:val="000000"/>
          <w:sz w:val="20"/>
        </w:rPr>
        <w:t>In June 2024, the Company issued $800.0 million aggregate principal amount of 2.250% Convertible Senior Notes due 2032 (the “2032 Convertible Notes”) with an initial conversion price of $2,043.32 per share of class A common stock.</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Redemption and Conversions of 2025 Convertible Notes:</w:t>
      </w:r>
      <w:r>
        <w:rPr>
          <w:color w:val="000000"/>
        </w:rPr>
        <w:t xml:space="preserve"> </w:t>
      </w:r>
      <w:r>
        <w:rPr>
          <w:rFonts w:ascii="Times New Roman" w:hAnsi="Times New Roman"/>
          <w:color w:val="000000"/>
          <w:sz w:val="20"/>
        </w:rPr>
        <w:t>On June 13, 2024, the Company announced that it delivered a notice of redemption to the trustee of its 0.750% Convertible Senior Notes due 2025 (the “2025 Convertible Notes”) for redemption of all $650.0 million in aggregate principal amount of the 2025 Convertible Notes then outstanding on July 15, 2024 (the “Redemption Date”). The holders of substantially all of the 2025 Convertible Notes converted such notes into shares of our class A common stock prior to the Redemption Date.</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Revenues:</w:t>
      </w:r>
      <w:r>
        <w:rPr>
          <w:color w:val="000000"/>
        </w:rPr>
        <w:t xml:space="preserve"> </w:t>
      </w:r>
      <w:r>
        <w:rPr>
          <w:rFonts w:ascii="Times New Roman" w:hAnsi="Times New Roman"/>
          <w:color w:val="000000"/>
          <w:sz w:val="20"/>
        </w:rPr>
        <w:t xml:space="preserve">Total revenues were $111.4 million, a 7.4% decrease, or a 6.9% decrease on a non-GAAP constant currency basis, compared to the second quarter of 2023. Subscription Services Revenues were $24.1 million, a 21.1% increase, or a 21.8% increase on a non-GAAP constant currency basis, compared to the second quarter of 2023. Product licenses and subscription services revenues were $33.4 million, a 5.7% decrease, or a 5.3% decrease on a non-GAAP constant currency basis, compared to the second quarter of 2023. Product support revenues were $61.7 million, a 6.6% decrease, or a 6.0% decrease on a non-GAAP constant currency basis, compared to the second quarter of 2023. Other services revenues were $16.3 million, a 13.7% decrease, or a 12.9% decrease on a non-GAAP constant currency basis, compared to the second quarter of 2023. </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Gross Profit:</w:t>
      </w:r>
      <w:r>
        <w:rPr>
          <w:color w:val="000000"/>
        </w:rPr>
        <w:t xml:space="preserve"> </w:t>
      </w:r>
      <w:r>
        <w:rPr>
          <w:rFonts w:ascii="Times New Roman" w:hAnsi="Times New Roman"/>
          <w:color w:val="000000"/>
          <w:sz w:val="20"/>
        </w:rPr>
        <w:t>Gross profit was $80.5 million, representing a 72.2% gross margin, compared to $93.3 million, representing a gross margin of 77.5%, for the second quarter of 2023.</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 xml:space="preserve">Operating Expenses: </w:t>
      </w:r>
      <w:r>
        <w:rPr>
          <w:rFonts w:ascii="Times New Roman" w:hAnsi="Times New Roman"/>
          <w:color w:val="000000"/>
          <w:sz w:val="20"/>
        </w:rPr>
        <w:t xml:space="preserve">Operating expenses were $280.8 million, a 134.0% increase compared to the second quarter of 2023. Operating expenses include impairment losses on the Company’s digital assets, which were $180.1 million during the second quarter of 2024, compared to $24.1 million in the second quarter of 2023. </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Loss from Operations and Net (Loss) Income:</w:t>
      </w:r>
      <w:r>
        <w:rPr>
          <w:color w:val="000000"/>
        </w:rPr>
        <w:t xml:space="preserve"> </w:t>
      </w:r>
      <w:r>
        <w:rPr>
          <w:rFonts w:ascii="Times New Roman" w:hAnsi="Times New Roman"/>
          <w:color w:val="000000"/>
          <w:sz w:val="20"/>
        </w:rPr>
        <w:t>Loss from operations was $200.3 million, compared to $26.7 million for the second quarter of 2023. Net loss was $102.6 million, or $5.74 per share on a diluted basis, as compared to a net income of $22.2 million, or $1.52 per share on a diluted basis, for the second quarter of 2023. Digital asset impairment losses of $180.1 million and $24.1 million for the second quarter of 2024 and 2023, respectively, were reflected in these amounts.</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Cash and Cash Equivalents:</w:t>
      </w:r>
      <w:r>
        <w:rPr>
          <w:color w:val="000000"/>
        </w:rPr>
        <w:t xml:space="preserve"> </w:t>
      </w:r>
      <w:r>
        <w:rPr>
          <w:rFonts w:ascii="Times New Roman" w:hAnsi="Times New Roman"/>
          <w:color w:val="000000"/>
          <w:sz w:val="20"/>
        </w:rPr>
        <w:t xml:space="preserve">As of June 30, 2024, the Company had cash and cash equivalents of $66.9 million, as compared to $46.8 million as of December 31, 2023, an increase of $20.1 million. </w:t>
      </w:r>
    </w:p>
    <w:p>
      <w:pPr>
        <w:pStyle w:val="TextBody"/>
        <w:bidi w:val="0"/>
        <w:spacing w:before="240" w:after="283"/>
        <w:jc w:val="both"/>
        <w:rPr>
          <w:rFonts w:ascii="Times New Roman" w:hAnsi="Times New Roman"/>
          <w:sz w:val="20"/>
        </w:rPr>
      </w:pPr>
      <w:r>
        <w:rPr>
          <w:rFonts w:ascii="Times New Roman" w:hAnsi="Times New Roman"/>
          <w:color w:val="000000"/>
          <w:sz w:val="20"/>
        </w:rPr>
        <w:t xml:space="preserve">The tables provided at the end of this press release include a reconciliation of the most directly comparable financial measures prepared in accordance with generally accepted accounting principles in the United States (“GAAP”) to non-GAAP financial measures for the three and six months ended June 30, 2024 and 2023. An explanation of non-GAAP financial measures is also included under the heading “Non-GAAP Financial Measures” below. Additional non-GAAP financial measures are included in MicroStrategy’s “Q2 2024 Earnings Presentation,” which will be available under the “Events and Presentations” section of MicroStrategy’s investor relations website at </w:t>
      </w:r>
      <w:r>
        <w:rPr>
          <w:rFonts w:ascii="Times New Roman" w:hAnsi="Times New Roman"/>
          <w:sz w:val="20"/>
        </w:rPr>
        <w:t>https://www.microstrategy.com/en/investor-relations</w:t>
      </w:r>
      <w:r>
        <w:rPr>
          <w:rFonts w:ascii="Times New Roman" w:hAnsi="Times New Roman"/>
          <w:color w:val="000000"/>
          <w:sz w:val="20"/>
        </w:rPr>
        <w:t>.</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Non-GAAP Financial Measures</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MicroStrategy is providing supplemental financial measures for (i) non-GAAP loss from operations that excludes the impact of share-based compensation expense, (ii) non-GAAP net (loss) income and non-GAAP diluted (loss) earnings per share that exclude the impacts of share-based compensation expense, interest expense arising from the amortization of debt issuance costs related to MicroStrategy’s long-term debt, gain on debt extinguishment, and related income tax effects, and (iii) non-GAAP constant currency revenues that exclude certain foreign currency exchange rate fluctuations. These supplemental financial measures are not measurements of financial performance under GAAP and, as a result, these supplemental financial measures may not be comparable to similarly titled measures of other companies. Management uses these non-GAAP financial measures internally to help understand, manage, and evaluate business performance and to help make operating decisions.</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MicroStrategy believes that these non-GAAP financial measures are also useful to investors and analysts in comparing its performance across reporting periods on a consistent basis. The first supplemental financial measure excludes a significant non-cash expense that MicroStrategy believes is not reflective of its general business performance, and for which the accounting requires management judgment and the resulting share-based compensation expense could vary significantly in comparison to other companies. The second set of supplemental financial measures excludes the impacts of (i) share-based compensation expense, (ii) non-cash interest expense arising from the amortization of debt issuance costs related to MicroStrategy’s long-term debt, (iii) a gain on debt extinguishment, and (iv) related income tax effects. The third set of supplemental financial measures excludes changes resulting from certain fluctuations in foreign currency exchange rates so that results may be compared to the same period in the prior year on a non-GAAP constant currency basis. MicroStrategy believes the use of these non-GAAP financial measures can also facilitate comparison of MicroStrategy’s operating results to those of its competitors.</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Important Information about BTC Yield KPI</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BTC Yield is a key performance indicator (“KPI”) that represents the % change period-to-period of the ratio between the Company’s bitcoin holdings and its Assumed Diluted Shares Outstanding. Assumed Diluted Shares Outstanding refers to the aggregate of the Company’s actual shares of common stock outstanding as of the end of each period plus all additional shares that would result from the assumed conversion of all outstanding convertible notes,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 </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The Company uses BTC Yield as a KPI to help assess the performance of its strategy of acquiring bitcoin in a manner the Company believes is accretive to shareholders. The Company believes this KPI can be used to supplement an investor’s understanding of its decision to fund the purchase of bitcoin by issuing additional shares of its common stock or instruments convertible to common stock. When the Company uses this KPI, management also takes into account the various limitations of this metric, including that it does not take into account debt and other liabilities and claims on company assets that would be senior to common equity and that it assumes that all indebtedness will be refinanced or, in the case of the Company’s senior convertible debt instruments, converted into shares of common stock in accordance with their respective terms. </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Additionally, this KPI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 holdings, return on investment on its bitcoin holdings, or any other similar financial measure of the performance of its business or assets. </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The trading price of the Company’s class A common stock is informed by numerous factors in addition to the amount of bitcoins the Company holds and number of actual or potential shares of its stock outstanding, and as a result, the market value of the Company’s shares may trade at a discount or a premium relative to the market value of the bitcoin the Company holds, and BTC Yield is not indicative nor predictive of the trading price of the Company’s shares of class A common stock. </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As noted above, this KPI is narrow in its purpose and is used by management to assist it in assessing whether the Company is using equity capital in a manner accretive to shareholders solely as it pertains to its bitcoin holdings. </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In calculating this KPI, the Company does not take into account the source of capital used for the acquisition of its bitcoin. The Company notes in particular, it has acquired bitcoin using proceeds from the offerings of its 6.125% Senior Secured Notes due 2028 (the “Senior Secured Notes”) as well as convertible senior notes, which currently are not exercisable or have conversion prices above the current trading prices of the Class A common stock, each of which would have the effect of increasing the BTC Yield without taking into account the corresponding debt. Conversely, if any of the Company’s convertible senior notes mature or are redeemed without being converted into common stock or the Company needs cash to repay the Senior Secured Notes, the Company may be required to sell shares in quantities greater than the shares such notes are convertible into or generate cash proceeds from the sale of bitcoin, either of which would have the effect of decreasing the BTC Yield due to changes in the Company’s bitcoin holdings and shares in ways that were not contemplated by the assumptions in calculating BTC Yield. Accordingly, this metric might overstate or understate the accretive nature of the Company’s use of equity capital to buy bitcoin because not all bitcoin may be acquired using proceeds of equity offerings and not all issuances of equity may involve the acquisition of bitcoin. </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The Company determines its KPI targets based on its history and future goals. The Company’s ability to achieve positive BTC Yield may depend on a variety of factors, including its ability to generate cash from operations in excess of its fixed charges and other expenses, as well as factors outside of its control, such as the availability of debt and equity financing on favorable terms. Past performance is not indicative of future results. </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The Company has historically not paid any dividends on its shares of common stock, and by presenting this KPI the Company makes no suggestion that it intends to do so in the future. Ownership of common stock does not represent an ownership interest in the bitcoin the Company holds.</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Investors should rely on the financial statements and other disclosures contained in the Company’s SEC filings. This KPI is merely a supplement, not a substitute. It should be used only by sophisticated investors who understand its limited purpose and many limitations.</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Conference Call</w:t>
      </w:r>
    </w:p>
    <w:p>
      <w:pPr>
        <w:pStyle w:val="TextBody"/>
        <w:bidi w:val="0"/>
        <w:jc w:val="both"/>
        <w:rPr/>
      </w:pPr>
      <w:r>
        <w:rPr/>
        <w:t> </w:t>
      </w:r>
    </w:p>
    <w:p>
      <w:pPr>
        <w:pStyle w:val="TextBody"/>
        <w:bidi w:val="0"/>
        <w:spacing w:before="40" w:after="283"/>
        <w:jc w:val="both"/>
        <w:rPr>
          <w:rFonts w:ascii="Times New Roman" w:hAnsi="Times New Roman"/>
          <w:sz w:val="20"/>
        </w:rPr>
      </w:pPr>
      <w:r>
        <w:rPr>
          <w:rFonts w:ascii="Times New Roman" w:hAnsi="Times New Roman"/>
          <w:color w:val="000000"/>
          <w:sz w:val="20"/>
        </w:rPr>
        <w:t xml:space="preserve">MicroStrategy will be discussing its second quarter 2024 financial results on a live Video Webinar today beginning at approximately 5:00 p.m. ET. The live Video Webinar and accompanying presentation materials will be available under the “Events and Presentations” section of MicroStrategy’s investor relations website at </w:t>
      </w:r>
      <w:r>
        <w:rPr>
          <w:rFonts w:ascii="Times New Roman" w:hAnsi="Times New Roman"/>
          <w:sz w:val="20"/>
        </w:rPr>
        <w:t>https://www.microstrategy.com/en/investor-relations</w:t>
      </w:r>
      <w:r>
        <w:rPr>
          <w:rFonts w:ascii="Times New Roman" w:hAnsi="Times New Roman"/>
          <w:color w:val="000000"/>
          <w:sz w:val="20"/>
        </w:rPr>
        <w:t xml:space="preserve">. Log-in instructions will be available after registering for the event. An archived replay of the event will be available beginning approximately two hours after the call concludes. </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About MicroStrategy Incorporated</w:t>
      </w:r>
    </w:p>
    <w:p>
      <w:pPr>
        <w:pStyle w:val="TextBody"/>
        <w:bidi w:val="0"/>
        <w:spacing w:before="240" w:after="283"/>
        <w:jc w:val="both"/>
        <w:rPr>
          <w:rFonts w:ascii="Times New Roman" w:hAnsi="Times New Roman"/>
          <w:sz w:val="20"/>
        </w:rPr>
      </w:pPr>
      <w:r>
        <w:rPr>
          <w:rFonts w:ascii="Times New Roman" w:hAnsi="Times New Roman"/>
          <w:color w:val="000000"/>
          <w:sz w:val="20"/>
        </w:rPr>
        <w:t xml:space="preserve">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We believe that the combination of our operating structure, bitcoin strategy and focus on technology innovation provides a unique opportunity for value creation. For more information about MicroStrategy, visit </w:t>
      </w:r>
      <w:r>
        <w:rPr>
          <w:rFonts w:ascii="Times New Roman" w:hAnsi="Times New Roman"/>
          <w:sz w:val="20"/>
        </w:rPr>
        <w:t>www.microstrategy.com</w:t>
      </w:r>
      <w:r>
        <w:rPr>
          <w:rFonts w:ascii="Times New Roman" w:hAnsi="Times New Roman"/>
          <w:color w:val="000000"/>
          <w:sz w:val="20"/>
        </w:rPr>
        <w:t>.</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This press release may include statements that may constitute “forward-looking statements,” including estimates of future business prospects or financial results, our targets relating to our BTC Yield, and statements containing the words “believe,” “estimate,” “project,” “expect,” “will,” or similar expressions. Forward-looking statements inherently involve risks and uncertainties that could cause actual results of MicroStrategy Incorporated and its subsidiaries (collectively, the “Company”) to differ materially from the forward-looking statements. Factors that could contribute to such differences include: fluctuations in the market price of bitcoin and any associated impairment charges that the Company may incur as a result of a decrease in the market price of bitcoin below the value at which the Company’s bitcoins are carried on its balance sheet; the availability of debt and equity financing on favorable terms; gains or losses on any sales of bitcoins; changes in the accounting treatment relating to the Company’s bitcoin holdings; changes in securities laws or other laws or regulations, or the adoption of new laws or regulations, relating to bitcoin that adversely affect the price of bitcoin or the Company’s ability to transact in or own bitcoin; the impact of the availability of spot exchange traded products for bitcoin and other digital assets; a decrease in liquidity in the markets in which bitcoin is traded; security breaches, cyberattacks, unauthorized access, loss of private keys, fraud or other circumstances or events that result in the loss of the Company’s bitcoins; impacts to the price and rate of adoption of bitcoin associated with financial difficulties and bankruptcies of various participants in the digital asset industry; the level and terms of the Company’s substantial indebtedness and its ability to service such debt; the extent and timing of market acceptance of the Company’s new product offerings; continued acceptance of the Company’s other products in the marketplace; the Company’s ability to recognize revenue or deferred revenue through delivery of products or satisfactory performance of services; the timing of significant orders; delays in or the inability of the Company to develop or ship new products; customers continuing to shift from a product license model to a cloud subscription model, which may delay the Company’s ability to recognize revenue; fluctuations in tax benefits or provisions; changes in the market price of bitcoin as of period-end and their effect on our deferred tax assets and related valuation allowance; other potentially adverse tax consequences; competitive factors; general economic conditions, including levels of inflation and interest rates; currency fluctuations; and other risks detailed in MicroStrategy’s registration statements and periodic reports filed with the Securities and Exchange Commission (“SEC”). The Company undertakes no obligation to update these forward-looking statements for revisions or changes after the date of this release.</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CONSOLIDATED STATEMENTS OF OPERATIONS</w:t>
      </w:r>
    </w:p>
    <w:p>
      <w:pPr>
        <w:pStyle w:val="TextBody"/>
        <w:bidi w:val="0"/>
        <w:jc w:val="center"/>
        <w:rPr>
          <w:rFonts w:ascii="Times New Roman" w:hAnsi="Times New Roman"/>
          <w:b/>
          <w:color w:val="000000"/>
          <w:sz w:val="20"/>
        </w:rPr>
      </w:pPr>
      <w:r>
        <w:rPr>
          <w:rFonts w:ascii="Times New Roman" w:hAnsi="Times New Roman"/>
          <w:b/>
          <w:color w:val="000000"/>
          <w:sz w:val="20"/>
        </w:rPr>
        <w:t>(in thousands, except per share data)</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4384"/>
        <w:gridCol w:w="146"/>
        <w:gridCol w:w="211"/>
        <w:gridCol w:w="841"/>
        <w:gridCol w:w="166"/>
        <w:gridCol w:w="146"/>
        <w:gridCol w:w="211"/>
        <w:gridCol w:w="781"/>
        <w:gridCol w:w="166"/>
        <w:gridCol w:w="146"/>
        <w:gridCol w:w="211"/>
        <w:gridCol w:w="841"/>
        <w:gridCol w:w="166"/>
        <w:gridCol w:w="146"/>
        <w:gridCol w:w="211"/>
        <w:gridCol w:w="841"/>
        <w:gridCol w:w="591"/>
      </w:tblGrid>
      <w:tr>
        <w:trPr/>
        <w:tc>
          <w:tcPr>
            <w:tcW w:w="4384"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591" w:type="dxa"/>
            <w:tcBorders/>
            <w:vAlign w:val="center"/>
          </w:tcPr>
          <w:p>
            <w:pPr>
              <w:pStyle w:val="TableContents"/>
              <w:bidi w:val="0"/>
              <w:spacing w:before="0" w:after="283"/>
              <w:jc w:val="left"/>
              <w:rPr>
                <w:sz w:val="4"/>
                <w:szCs w:val="4"/>
              </w:rPr>
            </w:pPr>
            <w:r>
              <w:rPr>
                <w:sz w:val="4"/>
                <w:szCs w:val="4"/>
              </w:rPr>
            </w:r>
          </w:p>
        </w:tc>
      </w:tr>
      <w:tr>
        <w:trPr/>
        <w:tc>
          <w:tcPr>
            <w:tcW w:w="4384"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35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41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w:t>
            </w:r>
          </w:p>
        </w:tc>
        <w:tc>
          <w:tcPr>
            <w:tcW w:w="591" w:type="dxa"/>
            <w:tcBorders/>
            <w:shd w:fill="FFFFFF" w:val="clear"/>
            <w:vAlign w:val="center"/>
          </w:tcPr>
          <w:p>
            <w:pPr>
              <w:pStyle w:val="TableContents"/>
              <w:bidi w:val="0"/>
              <w:spacing w:before="0" w:after="283"/>
              <w:jc w:val="center"/>
              <w:rPr/>
            </w:pPr>
            <w:r>
              <w:rPr/>
              <w:t> </w:t>
            </w:r>
          </w:p>
        </w:tc>
      </w:tr>
      <w:tr>
        <w:trPr/>
        <w:tc>
          <w:tcPr>
            <w:tcW w:w="4384"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35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41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384"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384"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1" w:type="dxa"/>
            <w:tcBorders/>
            <w:shd w:fill="FFFFFF" w:val="clear"/>
            <w:vAlign w:val="center"/>
          </w:tcPr>
          <w:p>
            <w:pPr>
              <w:pStyle w:val="TableContents"/>
              <w:bidi w:val="0"/>
              <w:spacing w:before="0" w:after="283"/>
              <w:jc w:val="center"/>
              <w:rPr/>
            </w:pPr>
            <w:r>
              <w:rPr/>
              <w:t> </w:t>
            </w:r>
          </w:p>
        </w:tc>
      </w:tr>
      <w:tr>
        <w:trPr/>
        <w:tc>
          <w:tcPr>
            <w:tcW w:w="438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Revenues:</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9,286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15,522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22,224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32,934</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24,080</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19,878</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47,046</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38,688</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84" w:type="dxa"/>
            <w:tcBorders/>
            <w:shd w:fill="FFFFFF"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33,366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35,400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69,270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71,622</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61,740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66,081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124,425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131,562</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16,336</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18,919</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32,993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39,131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84" w:type="dxa"/>
            <w:tcBorders/>
            <w:shd w:fill="CFF0FC"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111,442</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120,400</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226,688</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242,315</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Cost of revenues:</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794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1,361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978</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9,560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7,216</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18,164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15,072</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84"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10,354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7,660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19,525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16,050</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8,193</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5,816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16,740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11,584</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12,388</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13,645</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24,685</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27,428</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84" w:type="dxa"/>
            <w:tcBorders/>
            <w:shd w:fill="FFFFFF"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cost of revenues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30,935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27,121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60,950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55,062</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Gross profit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80,507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93,279</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165,738</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187,253</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Operating expenses:</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Sales and marketing</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34,251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37,660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67,702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73,766</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Research and development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30,311</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29,354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59,494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60,712</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General and administrative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36,129</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28,830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70,795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56,736</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180,090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24,143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371,723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43,054</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84" w:type="dxa"/>
            <w:tcBorders/>
            <w:shd w:fill="CFF0FC"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operating expenses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280,781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119,987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569,714</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234,268</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Loss from operations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(200,274</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(26,708</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(403,976</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(47,015</w:t>
            </w:r>
          </w:p>
        </w:tc>
        <w:tc>
          <w:tcPr>
            <w:tcW w:w="59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Interest expense,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(15,466</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(11,095</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(27,347</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(26,025</w:t>
            </w:r>
          </w:p>
        </w:tc>
        <w:tc>
          <w:tcPr>
            <w:tcW w:w="59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38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Gain on debt extinguishment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44,686</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Other income (expense), net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694</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(250</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2,390</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(1,693</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438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Loss before income taxes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(215,046</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(38,053</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(428,933</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(30,047</w:t>
            </w:r>
          </w:p>
        </w:tc>
        <w:tc>
          <w:tcPr>
            <w:tcW w:w="59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38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Benefit from income taxes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(112,487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(60,296</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(273,256</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(513,483</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438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Net (loss) income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(102,559</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22,243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(155,677</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483,436</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Basic (loss) earnings per share (1)</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(5.74</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1.68</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(8.88</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41.18</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Weighted average shares outstanding used in computing basic (loss) earnings per share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17,861</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13,247</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17,533</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11,739</w:t>
            </w:r>
          </w:p>
        </w:tc>
        <w:tc>
          <w:tcPr>
            <w:tcW w:w="5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Diluted (loss) earnings per share (1)</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(5.74</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(8.88</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33.56</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384"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Weighted average shares outstanding used in computing diluted (loss) earnings per share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17,861</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16,095</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17,533</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14,534</w:t>
            </w:r>
          </w:p>
        </w:tc>
        <w:tc>
          <w:tcPr>
            <w:tcW w:w="5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(1) Basic and fully diluted (loss) earnings per share for class A and class B common stock are the same.</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CONSOLIDATED BALANCE SHEETS</w:t>
      </w:r>
    </w:p>
    <w:p>
      <w:pPr>
        <w:pStyle w:val="TextBody"/>
        <w:bidi w:val="0"/>
        <w:jc w:val="center"/>
        <w:rPr>
          <w:rFonts w:ascii="Times New Roman" w:hAnsi="Times New Roman"/>
          <w:b/>
          <w:color w:val="000000"/>
          <w:sz w:val="20"/>
        </w:rPr>
      </w:pPr>
      <w:r>
        <w:rPr>
          <w:rFonts w:ascii="Times New Roman" w:hAnsi="Times New Roman"/>
          <w:b/>
          <w:color w:val="000000"/>
          <w:sz w:val="20"/>
        </w:rPr>
        <w:t>(in thousands, except per share data)</w:t>
      </w:r>
    </w:p>
    <w:p>
      <w:pPr>
        <w:pStyle w:val="TextBody"/>
        <w:bidi w:val="0"/>
        <w:jc w:val="left"/>
        <w:rPr/>
      </w:pPr>
      <w:r>
        <w:rPr/>
        <w:t> </w:t>
      </w:r>
    </w:p>
    <w:tbl>
      <w:tblPr>
        <w:tblW w:w="10205" w:type="dxa"/>
        <w:jc w:val="left"/>
        <w:tblInd w:w="0" w:type="dxa"/>
        <w:tblLayout w:type="fixed"/>
        <w:tblCellMar>
          <w:top w:w="28" w:type="dxa"/>
          <w:left w:w="28" w:type="dxa"/>
          <w:bottom w:w="28" w:type="dxa"/>
          <w:right w:w="28" w:type="dxa"/>
        </w:tblCellMar>
      </w:tblPr>
      <w:tblGrid>
        <w:gridCol w:w="6992"/>
        <w:gridCol w:w="146"/>
        <w:gridCol w:w="211"/>
        <w:gridCol w:w="991"/>
        <w:gridCol w:w="166"/>
        <w:gridCol w:w="146"/>
        <w:gridCol w:w="211"/>
        <w:gridCol w:w="931"/>
        <w:gridCol w:w="411"/>
      </w:tblGrid>
      <w:tr>
        <w:trPr/>
        <w:tc>
          <w:tcPr>
            <w:tcW w:w="699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9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411" w:type="dxa"/>
            <w:tcBorders/>
            <w:vAlign w:val="center"/>
          </w:tcPr>
          <w:p>
            <w:pPr>
              <w:pStyle w:val="TableContents"/>
              <w:bidi w:val="0"/>
              <w:spacing w:before="0" w:after="283"/>
              <w:jc w:val="left"/>
              <w:rPr>
                <w:sz w:val="4"/>
                <w:szCs w:val="4"/>
              </w:rPr>
            </w:pPr>
            <w:r>
              <w:rPr>
                <w:sz w:val="4"/>
                <w:szCs w:val="4"/>
              </w:rPr>
            </w:r>
          </w:p>
        </w:tc>
      </w:tr>
      <w:tr>
        <w:trPr/>
        <w:tc>
          <w:tcPr>
            <w:tcW w:w="6992"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December 31,</w:t>
            </w:r>
          </w:p>
        </w:tc>
        <w:tc>
          <w:tcPr>
            <w:tcW w:w="411" w:type="dxa"/>
            <w:tcBorders/>
            <w:shd w:fill="FFFFFF" w:val="clear"/>
            <w:vAlign w:val="center"/>
          </w:tcPr>
          <w:p>
            <w:pPr>
              <w:pStyle w:val="TableContents"/>
              <w:bidi w:val="0"/>
              <w:spacing w:before="0" w:after="283"/>
              <w:jc w:val="center"/>
              <w:rPr/>
            </w:pPr>
            <w:r>
              <w:rPr/>
              <w:t> </w:t>
            </w:r>
          </w:p>
        </w:tc>
      </w:tr>
      <w:tr>
        <w:trPr/>
        <w:tc>
          <w:tcPr>
            <w:tcW w:w="699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699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center"/>
              <w:rPr/>
            </w:pPr>
            <w:r>
              <w:rPr/>
              <w:t> </w:t>
            </w:r>
          </w:p>
        </w:tc>
        <w:tc>
          <w:tcPr>
            <w:tcW w:w="411" w:type="dxa"/>
            <w:tcBorders/>
            <w:shd w:fill="FFFFFF" w:val="clear"/>
            <w:vAlign w:val="center"/>
          </w:tcPr>
          <w:p>
            <w:pPr>
              <w:pStyle w:val="TableContents"/>
              <w:bidi w:val="0"/>
              <w:spacing w:before="0" w:after="283"/>
              <w:jc w:val="center"/>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Assets</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jc w:val="righ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Current assets</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ind w:left="0" w:right="0" w:firstLine="200"/>
              <w:jc w:val="righ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Cash and cash equivalents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66,923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46,817</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Restricted cash</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1,878</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1,856</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Accounts receivable,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112,234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183,815</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Prepaid expenses and other current assets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27,234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35,407</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current assets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208,269</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267,895</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sz w:val="4"/>
                <w:szCs w:val="4"/>
              </w:rPr>
            </w:pPr>
            <w:r>
              <w:rPr>
                <w:sz w:val="4"/>
                <w:szCs w:val="4"/>
              </w:rPr>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jc w:val="righ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Digital assets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5,687,890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3,626,476</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Property and equipment, net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28,332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28,941</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Right-of-use assets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53,591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57,343</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Deposits and other assets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43,449</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24,300</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tax assets, net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1,031,542</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757,573</w:t>
            </w:r>
          </w:p>
        </w:tc>
        <w:tc>
          <w:tcPr>
            <w:tcW w:w="4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Assets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7,053,073</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3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4,762,528</w:t>
            </w:r>
          </w:p>
        </w:tc>
        <w:tc>
          <w:tcPr>
            <w:tcW w:w="4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jc w:val="righ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Liabilities and Stockholders’ Equity</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jc w:val="righ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Current liabilities</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ind w:left="0" w:right="0" w:firstLine="200"/>
              <w:jc w:val="righ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Accounts payable, accrued expenses, and operating lease liabilities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44,188</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43,090</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Accrued compensation and employee benefits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46,853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50,045</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Accrued interest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5,066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1,493</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Current portion of long-term debt,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145,119</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483</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204,837</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228,162</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current liabilities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446,063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323,273</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jc w:val="righ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Long-term debt,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3,703,381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2,182,108</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5,964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8,524</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Operating lease liabilities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56,544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61,086</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long-term liabilities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5,965</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22,208</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tax liabilities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w:t>
            </w:r>
          </w:p>
        </w:tc>
        <w:tc>
          <w:tcPr>
            <w:tcW w:w="4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liabilities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4,218,274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2,597,556</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jc w:val="righ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Stockholders’ Equity</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ind w:left="0" w:right="0" w:firstLine="200"/>
              <w:jc w:val="righ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Preferred stock undesignated, $0.001 par value; 5,000 shares authorized; no shares issued or outstanding</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Class A common stock, $0.001 par value; 330,000 shares authorized; 25,787 shares issued and 17,103 shares outstanding, and 23,588 shares issued and 14,904 shares outstanding, respectively</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Class B convertible common stock, $0.001 par value; 165,000 shares authorized; 1,964 shares issued and outstanding, and 1,964 shares issued and outstanding, respectively</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Additional paid-in capital</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4,785,336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3,957,728</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Treasury stock, at cost; 8,684 shares and 8,684 shares, respectively</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(782,104</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(782,104</w:t>
            </w:r>
          </w:p>
        </w:tc>
        <w:tc>
          <w:tcPr>
            <w:tcW w:w="41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Accumulated other comprehensive loss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(13,550</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(11,444</w:t>
            </w:r>
          </w:p>
        </w:tc>
        <w:tc>
          <w:tcPr>
            <w:tcW w:w="41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Accumulated deficit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(1,154,911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(999,234</w:t>
            </w:r>
          </w:p>
        </w:tc>
        <w:tc>
          <w:tcPr>
            <w:tcW w:w="4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Stockholders’ Equity</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2,834,799</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2,164,972</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Liabilities and Stockholders’ Equity</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7,053,073</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3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4,762,528</w:t>
            </w:r>
          </w:p>
        </w:tc>
        <w:tc>
          <w:tcPr>
            <w:tcW w:w="4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 Derived from audited financial statements.</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CONSOLIDATED CONDENSED STATEMENTS OF CASH FLOWS</w:t>
      </w:r>
    </w:p>
    <w:p>
      <w:pPr>
        <w:pStyle w:val="TextBody"/>
        <w:bidi w:val="0"/>
        <w:jc w:val="center"/>
        <w:rPr>
          <w:rFonts w:ascii="Times New Roman" w:hAnsi="Times New Roman"/>
          <w:sz w:val="20"/>
        </w:rPr>
      </w:pPr>
      <w:r>
        <w:rPr>
          <w:rFonts w:ascii="Times New Roman" w:hAnsi="Times New Roman"/>
          <w:b/>
          <w:color w:val="000000"/>
          <w:sz w:val="20"/>
        </w:rPr>
        <w:t>(in thousands)</w:t>
      </w:r>
      <w:r>
        <w:rPr>
          <w:rFonts w:ascii="Times New Roman" w:hAnsi="Times New Roman"/>
          <w:color w:val="000000"/>
          <w:sz w:val="20"/>
        </w:rPr>
        <w:t xml:space="preserve"> </w:t>
      </w:r>
    </w:p>
    <w:p>
      <w:pPr>
        <w:pStyle w:val="TextBody"/>
        <w:bidi w:val="0"/>
        <w:jc w:val="center"/>
        <w:rPr/>
      </w:pPr>
      <w:r>
        <w:rPr/>
        <w:t> </w:t>
      </w:r>
    </w:p>
    <w:tbl>
      <w:tblPr>
        <w:tblW w:w="9929" w:type="dxa"/>
        <w:jc w:val="left"/>
        <w:tblInd w:w="0" w:type="dxa"/>
        <w:tblLayout w:type="fixed"/>
        <w:tblCellMar>
          <w:top w:w="28" w:type="dxa"/>
          <w:left w:w="28" w:type="dxa"/>
          <w:bottom w:w="28" w:type="dxa"/>
          <w:right w:w="28" w:type="dxa"/>
        </w:tblCellMar>
      </w:tblPr>
      <w:tblGrid>
        <w:gridCol w:w="7006"/>
        <w:gridCol w:w="146"/>
        <w:gridCol w:w="211"/>
        <w:gridCol w:w="991"/>
        <w:gridCol w:w="166"/>
        <w:gridCol w:w="146"/>
        <w:gridCol w:w="211"/>
        <w:gridCol w:w="841"/>
        <w:gridCol w:w="211"/>
      </w:tblGrid>
      <w:tr>
        <w:trPr/>
        <w:tc>
          <w:tcPr>
            <w:tcW w:w="700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9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r>
      <w:tr>
        <w:trPr/>
        <w:tc>
          <w:tcPr>
            <w:tcW w:w="70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6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w:t>
            </w:r>
          </w:p>
        </w:tc>
        <w:tc>
          <w:tcPr>
            <w:tcW w:w="211" w:type="dxa"/>
            <w:tcBorders/>
            <w:shd w:fill="FFFFFF" w:val="clear"/>
            <w:vAlign w:val="center"/>
          </w:tcPr>
          <w:p>
            <w:pPr>
              <w:pStyle w:val="TableContents"/>
              <w:bidi w:val="0"/>
              <w:spacing w:before="0" w:after="283"/>
              <w:jc w:val="center"/>
              <w:rPr/>
            </w:pPr>
            <w:r>
              <w:rPr/>
              <w:t> </w:t>
            </w:r>
          </w:p>
        </w:tc>
      </w:tr>
      <w:tr>
        <w:trPr/>
        <w:tc>
          <w:tcPr>
            <w:tcW w:w="70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6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00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00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211" w:type="dxa"/>
            <w:tcBorders/>
            <w:shd w:fill="FFFFFF" w:val="clear"/>
            <w:vAlign w:val="center"/>
          </w:tcPr>
          <w:p>
            <w:pPr>
              <w:pStyle w:val="TableContents"/>
              <w:bidi w:val="0"/>
              <w:spacing w:before="0" w:after="283"/>
              <w:jc w:val="center"/>
              <w:rPr/>
            </w:pPr>
            <w:r>
              <w:rPr/>
              <w:t> </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cash provided by operating activities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5,258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18,925</w:t>
            </w:r>
          </w:p>
        </w:tc>
        <w:tc>
          <w:tcPr>
            <w:tcW w:w="211" w:type="dxa"/>
            <w:tcBorders/>
            <w:shd w:fill="CFF0FC" w:val="clear"/>
            <w:vAlign w:val="center"/>
          </w:tcPr>
          <w:p>
            <w:pPr>
              <w:pStyle w:val="TableContents"/>
              <w:bidi w:val="0"/>
              <w:spacing w:before="0" w:after="283"/>
              <w:jc w:val="left"/>
              <w:rPr/>
            </w:pPr>
            <w:r>
              <w:rPr/>
              <w:t> </w:t>
            </w:r>
          </w:p>
        </w:tc>
      </w:tr>
      <w:tr>
        <w:trPr/>
        <w:tc>
          <w:tcPr>
            <w:tcW w:w="70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cash used in investing activities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(2,435,405</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(527,416</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cash provided by financing activities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2,451,831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525,911</w:t>
            </w:r>
          </w:p>
        </w:tc>
        <w:tc>
          <w:tcPr>
            <w:tcW w:w="211" w:type="dxa"/>
            <w:tcBorders/>
            <w:shd w:fill="CFF0FC" w:val="clear"/>
            <w:vAlign w:val="center"/>
          </w:tcPr>
          <w:p>
            <w:pPr>
              <w:pStyle w:val="TableContents"/>
              <w:bidi w:val="0"/>
              <w:spacing w:before="0" w:after="283"/>
              <w:jc w:val="left"/>
              <w:rPr/>
            </w:pPr>
            <w:r>
              <w:rPr/>
              <w:t> </w:t>
            </w:r>
          </w:p>
        </w:tc>
      </w:tr>
      <w:tr>
        <w:trPr/>
        <w:tc>
          <w:tcPr>
            <w:tcW w:w="70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Effect of foreign exchange rate changes on cash, cash equivalents, and restricted cash</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(1,556</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(235</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increase in cash, cash equivalents, and restricted cash</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20,128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17,185</w:t>
            </w:r>
          </w:p>
        </w:tc>
        <w:tc>
          <w:tcPr>
            <w:tcW w:w="211" w:type="dxa"/>
            <w:tcBorders/>
            <w:shd w:fill="CFF0FC" w:val="clear"/>
            <w:vAlign w:val="center"/>
          </w:tcPr>
          <w:p>
            <w:pPr>
              <w:pStyle w:val="TableContents"/>
              <w:bidi w:val="0"/>
              <w:spacing w:before="0" w:after="283"/>
              <w:jc w:val="left"/>
              <w:rPr/>
            </w:pPr>
            <w:r>
              <w:rPr/>
              <w:t> </w:t>
            </w:r>
          </w:p>
        </w:tc>
      </w:tr>
      <w:tr>
        <w:trPr/>
        <w:tc>
          <w:tcPr>
            <w:tcW w:w="70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Cash, cash equivalents, and restricted cash, beginning of period</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48,673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50,868</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Cash, cash equivalents, and restricted cash, end of period</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68,801</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68,053</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sz w:val="20"/>
        </w:rPr>
      </w:pPr>
      <w:r>
        <w:rPr>
          <w:rFonts w:ascii="Times New Roman" w:hAnsi="Times New Roman"/>
          <w:b/>
          <w:color w:val="000000"/>
          <w:sz w:val="20"/>
        </w:rPr>
        <w:t>DIGITAL ASSETS – ADDITIONAL INFORMATION</w:t>
      </w:r>
      <w:r>
        <w:rPr>
          <w:rFonts w:ascii="Times New Roman" w:hAnsi="Times New Roman"/>
          <w:color w:val="000000"/>
          <w:sz w:val="20"/>
        </w:rPr>
        <w:t xml:space="preserve"> </w:t>
      </w:r>
    </w:p>
    <w:p>
      <w:pPr>
        <w:pStyle w:val="TextBody"/>
        <w:bidi w:val="0"/>
        <w:jc w:val="center"/>
        <w:rPr>
          <w:rFonts w:ascii="Times New Roman" w:hAnsi="Times New Roman"/>
          <w:sz w:val="20"/>
        </w:rPr>
      </w:pPr>
      <w:r>
        <w:rPr>
          <w:rFonts w:ascii="Times New Roman" w:hAnsi="Times New Roman"/>
          <w:b/>
          <w:color w:val="000000"/>
          <w:sz w:val="20"/>
        </w:rPr>
        <w:t>ROLLFORWARD OF BITCOIN HOLDINGS</w:t>
      </w:r>
      <w:r>
        <w:rPr>
          <w:rFonts w:ascii="Times New Roman" w:hAnsi="Times New Roman"/>
          <w:color w:val="000000"/>
          <w:sz w:val="20"/>
        </w:rPr>
        <w:t xml:space="preserve"> </w:t>
      </w:r>
    </w:p>
    <w:p>
      <w:pPr>
        <w:pStyle w:val="TextBody"/>
        <w:bidi w:val="0"/>
        <w:jc w:val="center"/>
        <w:rPr>
          <w:rFonts w:ascii="Times New Roman" w:hAnsi="Times New Roman"/>
          <w:b/>
          <w:color w:val="000000"/>
          <w:sz w:val="20"/>
        </w:rPr>
      </w:pPr>
      <w:r>
        <w:rPr>
          <w:rFonts w:ascii="Times New Roman" w:hAnsi="Times New Roman"/>
          <w:b/>
          <w:color w:val="000000"/>
          <w:sz w:val="20"/>
        </w:rPr>
        <w:t>(unaudited)</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1337"/>
        <w:gridCol w:w="146"/>
        <w:gridCol w:w="901"/>
        <w:gridCol w:w="146"/>
        <w:gridCol w:w="224"/>
        <w:gridCol w:w="992"/>
        <w:gridCol w:w="146"/>
        <w:gridCol w:w="146"/>
        <w:gridCol w:w="222"/>
        <w:gridCol w:w="1046"/>
        <w:gridCol w:w="166"/>
        <w:gridCol w:w="146"/>
        <w:gridCol w:w="222"/>
        <w:gridCol w:w="980"/>
        <w:gridCol w:w="166"/>
        <w:gridCol w:w="146"/>
        <w:gridCol w:w="183"/>
        <w:gridCol w:w="990"/>
        <w:gridCol w:w="146"/>
        <w:gridCol w:w="146"/>
        <w:gridCol w:w="287"/>
        <w:gridCol w:w="923"/>
        <w:gridCol w:w="398"/>
      </w:tblGrid>
      <w:tr>
        <w:trPr/>
        <w:tc>
          <w:tcPr>
            <w:tcW w:w="1337"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90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24" w:type="dxa"/>
            <w:tcBorders/>
            <w:vAlign w:val="center"/>
          </w:tcPr>
          <w:p>
            <w:pPr>
              <w:pStyle w:val="TableContents"/>
              <w:bidi w:val="0"/>
              <w:spacing w:before="0" w:after="283"/>
              <w:jc w:val="left"/>
              <w:rPr>
                <w:sz w:val="4"/>
                <w:szCs w:val="4"/>
              </w:rPr>
            </w:pPr>
            <w:r>
              <w:rPr>
                <w:sz w:val="4"/>
                <w:szCs w:val="4"/>
              </w:rPr>
            </w:r>
          </w:p>
        </w:tc>
        <w:tc>
          <w:tcPr>
            <w:tcW w:w="99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22" w:type="dxa"/>
            <w:tcBorders/>
            <w:vAlign w:val="center"/>
          </w:tcPr>
          <w:p>
            <w:pPr>
              <w:pStyle w:val="TableContents"/>
              <w:bidi w:val="0"/>
              <w:spacing w:before="0" w:after="283"/>
              <w:jc w:val="left"/>
              <w:rPr>
                <w:sz w:val="4"/>
                <w:szCs w:val="4"/>
              </w:rPr>
            </w:pPr>
            <w:r>
              <w:rPr>
                <w:sz w:val="4"/>
                <w:szCs w:val="4"/>
              </w:rPr>
            </w:r>
          </w:p>
        </w:tc>
        <w:tc>
          <w:tcPr>
            <w:tcW w:w="1046"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22" w:type="dxa"/>
            <w:tcBorders/>
            <w:vAlign w:val="center"/>
          </w:tcPr>
          <w:p>
            <w:pPr>
              <w:pStyle w:val="TableContents"/>
              <w:bidi w:val="0"/>
              <w:spacing w:before="0" w:after="283"/>
              <w:jc w:val="left"/>
              <w:rPr>
                <w:sz w:val="4"/>
                <w:szCs w:val="4"/>
              </w:rPr>
            </w:pPr>
            <w:r>
              <w:rPr>
                <w:sz w:val="4"/>
                <w:szCs w:val="4"/>
              </w:rPr>
            </w:r>
          </w:p>
        </w:tc>
        <w:tc>
          <w:tcPr>
            <w:tcW w:w="9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83" w:type="dxa"/>
            <w:tcBorders/>
            <w:vAlign w:val="center"/>
          </w:tcPr>
          <w:p>
            <w:pPr>
              <w:pStyle w:val="TableContents"/>
              <w:bidi w:val="0"/>
              <w:spacing w:before="0" w:after="283"/>
              <w:jc w:val="left"/>
              <w:rPr>
                <w:sz w:val="4"/>
                <w:szCs w:val="4"/>
              </w:rPr>
            </w:pPr>
            <w:r>
              <w:rPr>
                <w:sz w:val="4"/>
                <w:szCs w:val="4"/>
              </w:rPr>
            </w:r>
          </w:p>
        </w:tc>
        <w:tc>
          <w:tcPr>
            <w:tcW w:w="990"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87" w:type="dxa"/>
            <w:tcBorders/>
            <w:vAlign w:val="center"/>
          </w:tcPr>
          <w:p>
            <w:pPr>
              <w:pStyle w:val="TableContents"/>
              <w:bidi w:val="0"/>
              <w:spacing w:before="0" w:after="283"/>
              <w:jc w:val="left"/>
              <w:rPr>
                <w:sz w:val="4"/>
                <w:szCs w:val="4"/>
              </w:rPr>
            </w:pPr>
            <w:r>
              <w:rPr>
                <w:sz w:val="4"/>
                <w:szCs w:val="4"/>
              </w:rPr>
            </w:r>
          </w:p>
        </w:tc>
        <w:tc>
          <w:tcPr>
            <w:tcW w:w="923" w:type="dxa"/>
            <w:tcBorders/>
            <w:vAlign w:val="center"/>
          </w:tcPr>
          <w:p>
            <w:pPr>
              <w:pStyle w:val="TableContents"/>
              <w:bidi w:val="0"/>
              <w:spacing w:before="0" w:after="283"/>
              <w:jc w:val="left"/>
              <w:rPr>
                <w:sz w:val="4"/>
                <w:szCs w:val="4"/>
              </w:rPr>
            </w:pPr>
            <w:r>
              <w:rPr>
                <w:sz w:val="4"/>
                <w:szCs w:val="4"/>
              </w:rPr>
            </w:r>
          </w:p>
        </w:tc>
        <w:tc>
          <w:tcPr>
            <w:tcW w:w="398" w:type="dxa"/>
            <w:tcBorders/>
            <w:vAlign w:val="center"/>
          </w:tcPr>
          <w:p>
            <w:pPr>
              <w:pStyle w:val="TableContents"/>
              <w:bidi w:val="0"/>
              <w:spacing w:before="0" w:after="283"/>
              <w:jc w:val="left"/>
              <w:rPr>
                <w:sz w:val="4"/>
                <w:szCs w:val="4"/>
              </w:rPr>
            </w:pPr>
            <w:r>
              <w:rPr>
                <w:sz w:val="4"/>
                <w:szCs w:val="4"/>
              </w:rPr>
            </w:r>
          </w:p>
        </w:tc>
      </w:tr>
      <w:tr>
        <w:trPr/>
        <w:tc>
          <w:tcPr>
            <w:tcW w:w="1337"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0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Source of Capital Used to Purchase Bitcoin</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 xml:space="preserve">Digital Asset Original Cost Basis </w:t>
              <w:br/>
              <w:t>(in thousands)</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Digital Asset Impairment Losses</w:t>
              <w:br/>
              <w:t>(in thousands)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 xml:space="preserve">Digital Asset Carrying Value </w:t>
              <w:br/>
              <w:t>(in thousands)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Approximate Number of Bitcoins Held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Approximate Average Purchase Price Per Bitcoin</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December 31, 2022</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3,993,190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(2,153,162</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1,840,028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132,500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30,137</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(a)</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pPr>
            <w:r>
              <w:rPr/>
              <w:t> </w:t>
            </w:r>
          </w:p>
        </w:tc>
        <w:tc>
          <w:tcPr>
            <w:tcW w:w="99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179,275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pPr>
            <w:r>
              <w:rPr/>
              <w:t> </w:t>
            </w:r>
          </w:p>
        </w:tc>
        <w:tc>
          <w:tcPr>
            <w:tcW w:w="98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179,275</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7,500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pPr>
            <w:r>
              <w:rPr/>
              <w:t> </w:t>
            </w:r>
          </w:p>
        </w:tc>
        <w:tc>
          <w:tcPr>
            <w:tcW w:w="923"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23,903</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March 31, 2023</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4,172,465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(2,172,073</w:t>
            </w:r>
          </w:p>
        </w:tc>
        <w:tc>
          <w:tcPr>
            <w:tcW w:w="166"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2,000,392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140,000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29,803</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(b)</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pPr>
            <w:r>
              <w:rPr/>
              <w:t> </w:t>
            </w:r>
          </w:p>
        </w:tc>
        <w:tc>
          <w:tcPr>
            <w:tcW w:w="99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347,003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268"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pPr>
            <w:r>
              <w:rPr/>
              <w:t> </w:t>
            </w:r>
          </w:p>
        </w:tc>
        <w:tc>
          <w:tcPr>
            <w:tcW w:w="9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347,003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12,333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pPr>
            <w:r>
              <w:rPr/>
              <w:t> </w:t>
            </w:r>
          </w:p>
        </w:tc>
        <w:tc>
          <w:tcPr>
            <w:tcW w:w="923"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28,136</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(24,143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(24,143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June 30, 2023</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4,519,468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(2,196,216</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2,323,252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152,333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29,668</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(c)</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pPr>
            <w:r>
              <w:rPr/>
              <w:t> </w:t>
            </w:r>
          </w:p>
        </w:tc>
        <w:tc>
          <w:tcPr>
            <w:tcW w:w="99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161,681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pPr>
            <w:r>
              <w:rPr/>
              <w:t> </w:t>
            </w:r>
          </w:p>
        </w:tc>
        <w:tc>
          <w:tcPr>
            <w:tcW w:w="98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161,681</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5,912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pPr>
            <w:r>
              <w:rPr/>
              <w:t> </w:t>
            </w:r>
          </w:p>
        </w:tc>
        <w:tc>
          <w:tcPr>
            <w:tcW w:w="923"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27,348</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(33,559</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(33,559</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September 30, 2023</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4,681,149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(2,229,775</w:t>
            </w:r>
          </w:p>
        </w:tc>
        <w:tc>
          <w:tcPr>
            <w:tcW w:w="166"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2,451,374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158,245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29,582</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(d)</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pPr>
            <w:r>
              <w:rPr/>
              <w:t> </w:t>
            </w:r>
          </w:p>
        </w:tc>
        <w:tc>
          <w:tcPr>
            <w:tcW w:w="99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1,214,340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268"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pPr>
            <w:r>
              <w:rPr/>
              <w:t> </w:t>
            </w:r>
          </w:p>
        </w:tc>
        <w:tc>
          <w:tcPr>
            <w:tcW w:w="9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1,214,340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30,905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pPr>
            <w:r>
              <w:rPr/>
              <w:t> </w:t>
            </w:r>
          </w:p>
        </w:tc>
        <w:tc>
          <w:tcPr>
            <w:tcW w:w="923"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39,293</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(39,238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(39,238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December 31, 2023</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5,895,489</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(2,269,013</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3,626,476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189,150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31,168</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(e)</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pPr>
            <w:r>
              <w:rPr/>
              <w:t> </w:t>
            </w:r>
          </w:p>
        </w:tc>
        <w:tc>
          <w:tcPr>
            <w:tcW w:w="99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1,639,309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pPr>
            <w:r>
              <w:rPr/>
              <w:t> </w:t>
            </w:r>
          </w:p>
        </w:tc>
        <w:tc>
          <w:tcPr>
            <w:tcW w:w="98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1,639,309</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25,128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pPr>
            <w:r>
              <w:rPr/>
              <w:t> </w:t>
            </w:r>
          </w:p>
        </w:tc>
        <w:tc>
          <w:tcPr>
            <w:tcW w:w="923"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65,238</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(191,633</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(191,633</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March 31, 2024</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7,534,798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(2,460,646</w:t>
            </w:r>
          </w:p>
        </w:tc>
        <w:tc>
          <w:tcPr>
            <w:tcW w:w="166"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5,074,152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214,278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35,164</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(f)</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pPr>
            <w:r>
              <w:rPr/>
              <w:t> </w:t>
            </w:r>
          </w:p>
        </w:tc>
        <w:tc>
          <w:tcPr>
            <w:tcW w:w="99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793,828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268"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pPr>
            <w:r>
              <w:rPr/>
              <w:t> </w:t>
            </w:r>
          </w:p>
        </w:tc>
        <w:tc>
          <w:tcPr>
            <w:tcW w:w="9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793,828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12,053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pPr>
            <w:r>
              <w:rPr/>
              <w:t> </w:t>
            </w:r>
          </w:p>
        </w:tc>
        <w:tc>
          <w:tcPr>
            <w:tcW w:w="923"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65,861</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(180,090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(180,090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June 30, 2024</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8,328,626</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(2,640,736</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5,687,890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226,331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36,798</w:t>
            </w:r>
          </w:p>
        </w:tc>
        <w:tc>
          <w:tcPr>
            <w:tcW w:w="398" w:type="dxa"/>
            <w:tcBorders/>
            <w:shd w:fill="CFF0FC" w:val="cle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rFonts w:ascii="Times New Roman" w:hAnsi="Times New Roman"/>
          <w:color w:val="000000"/>
          <w:sz w:val="18"/>
        </w:rPr>
      </w:pPr>
      <w:r>
        <w:rPr>
          <w:rFonts w:ascii="Times New Roman" w:hAnsi="Times New Roman"/>
          <w:color w:val="000000"/>
          <w:sz w:val="18"/>
        </w:rPr>
        <w:t>* MicroStrategy owns and has purchased bitcoins both directly and indirectly through its wholly-owned subsidiary, MacroStrategy. References to MicroStrategy below refer to MicroStrategy and its subsidiaries on a consolidated basis.</w:t>
      </w:r>
    </w:p>
    <w:p>
      <w:pPr>
        <w:pStyle w:val="TextBody"/>
        <w:bidi w:val="0"/>
        <w:jc w:val="left"/>
        <w:rPr/>
      </w:pPr>
      <w:r>
        <w:rPr/>
        <w:t> </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(a)</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 xml:space="preserve">In the first quarter of 2023, MicroStrategy purchased bitcoin using $179.3 million of the net proceeds from its sale of class A common stock under its at-the-market equity offering program. </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(b)</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In the second quarter of 2023, MicroStrategy purchased bitcoin using $336.9 million of the net proceeds from its sale of class A common stock under its at-the-market equity offering program and Excess Cash.</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(c)</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 xml:space="preserve">In the third quarter of 2023, MicroStrategy purchased bitcoin using $147.3 million of the net proceeds from its sale of class A common stock under its at-the-market equity offering program and Excess Cash. </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(d)</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In the fourth quarter of 2023, MicroStrategy purchased bitcoin using $1.201 billion of the net proceeds from its sale of class A common stock under its at-the-market equity offering program and Excess Cash.</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(e)</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In the first quarter of 2024, MicroStrategy purchased bitcoin using $782.0 million of the net proceeds from its issuance of the 2030 Convertible Notes, $592.3 million of the net proceeds from its issuance of the 2031 Convertible Notes, $137.3 million of the net proceeds from its sale of class A common stock under its at-the-market equity offering program, and Excess Cash.</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(f)</w:t>
      </w:r>
    </w:p>
    <w:p>
      <w:pPr>
        <w:pStyle w:val="TextBody"/>
        <w:bidi w:val="0"/>
        <w:jc w:val="both"/>
        <w:rPr>
          <w:rFonts w:ascii="Times New Roman" w:hAnsi="Times New Roman"/>
          <w:color w:val="000000"/>
          <w:sz w:val="18"/>
        </w:rPr>
      </w:pPr>
      <w:r>
        <w:rPr>
          <w:rFonts w:ascii="Times New Roman" w:hAnsi="Times New Roman"/>
          <w:color w:val="000000"/>
          <w:sz w:val="18"/>
        </w:rPr>
        <w:t>In the second quarter of 2024, MicroStrategy purchased $793.8 million of bitcoin using net proceeds from its issuance of the 2032 Convertible Notes and Excess Cash.</w:t>
      </w:r>
    </w:p>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Excess Cash refers to cash in excess of the minimum Cash Assets that MicroStrategy is required to hold under its Treasury Reserve Policy, which may include cash generated by operating activities and cash from the proceeds of financing activities. Cash Assets refers to cash and cash equivalents and short-term investments.</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DIGITAL ASSETS – ADDITIONAL INFORMATION</w:t>
      </w:r>
    </w:p>
    <w:p>
      <w:pPr>
        <w:pStyle w:val="TextBody"/>
        <w:bidi w:val="0"/>
        <w:jc w:val="center"/>
        <w:rPr>
          <w:rFonts w:ascii="Times New Roman" w:hAnsi="Times New Roman"/>
          <w:sz w:val="20"/>
        </w:rPr>
      </w:pPr>
      <w:r>
        <w:rPr>
          <w:rFonts w:ascii="Times New Roman" w:hAnsi="Times New Roman"/>
          <w:b/>
          <w:color w:val="000000"/>
          <w:sz w:val="20"/>
        </w:rPr>
        <w:t>MARKET VALUE OF BITCOIN HOLDINGS</w:t>
      </w:r>
      <w:r>
        <w:rPr>
          <w:rFonts w:ascii="Times New Roman" w:hAnsi="Times New Roman"/>
          <w:color w:val="000000"/>
          <w:sz w:val="20"/>
        </w:rPr>
        <w:t xml:space="preserve"> </w:t>
      </w:r>
    </w:p>
    <w:p>
      <w:pPr>
        <w:pStyle w:val="TextBody"/>
        <w:bidi w:val="0"/>
        <w:jc w:val="center"/>
        <w:rPr>
          <w:rFonts w:ascii="Times New Roman" w:hAnsi="Times New Roman"/>
          <w:b/>
          <w:color w:val="000000"/>
          <w:sz w:val="20"/>
        </w:rPr>
      </w:pPr>
      <w:r>
        <w:rPr>
          <w:rFonts w:ascii="Times New Roman" w:hAnsi="Times New Roman"/>
          <w:b/>
          <w:color w:val="000000"/>
          <w:sz w:val="20"/>
        </w:rPr>
        <w:t>(unaudited)</w:t>
      </w:r>
    </w:p>
    <w:p>
      <w:pPr>
        <w:pStyle w:val="TextBody"/>
        <w:bidi w:val="0"/>
        <w:jc w:val="center"/>
        <w:rPr/>
      </w:pPr>
      <w:r>
        <w:rPr/>
        <w:t> </w:t>
      </w:r>
    </w:p>
    <w:tbl>
      <w:tblPr>
        <w:tblW w:w="11358" w:type="dxa"/>
        <w:jc w:val="left"/>
        <w:tblInd w:w="0" w:type="dxa"/>
        <w:tblLayout w:type="fixed"/>
        <w:tblCellMar>
          <w:top w:w="28" w:type="dxa"/>
          <w:left w:w="28" w:type="dxa"/>
          <w:bottom w:w="28" w:type="dxa"/>
          <w:right w:w="28" w:type="dxa"/>
        </w:tblCellMar>
      </w:tblPr>
      <w:tblGrid>
        <w:gridCol w:w="1036"/>
        <w:gridCol w:w="146"/>
        <w:gridCol w:w="167"/>
        <w:gridCol w:w="899"/>
        <w:gridCol w:w="146"/>
        <w:gridCol w:w="146"/>
        <w:gridCol w:w="211"/>
        <w:gridCol w:w="931"/>
        <w:gridCol w:w="146"/>
        <w:gridCol w:w="146"/>
        <w:gridCol w:w="211"/>
        <w:gridCol w:w="1036"/>
        <w:gridCol w:w="146"/>
        <w:gridCol w:w="146"/>
        <w:gridCol w:w="211"/>
        <w:gridCol w:w="931"/>
        <w:gridCol w:w="146"/>
        <w:gridCol w:w="146"/>
        <w:gridCol w:w="211"/>
        <w:gridCol w:w="1036"/>
        <w:gridCol w:w="146"/>
        <w:gridCol w:w="146"/>
        <w:gridCol w:w="211"/>
        <w:gridCol w:w="931"/>
        <w:gridCol w:w="146"/>
        <w:gridCol w:w="146"/>
        <w:gridCol w:w="211"/>
        <w:gridCol w:w="1036"/>
        <w:gridCol w:w="191"/>
      </w:tblGrid>
      <w:tr>
        <w:trPr/>
        <w:tc>
          <w:tcPr>
            <w:tcW w:w="10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67" w:type="dxa"/>
            <w:tcBorders/>
            <w:vAlign w:val="center"/>
          </w:tcPr>
          <w:p>
            <w:pPr>
              <w:pStyle w:val="TableContents"/>
              <w:bidi w:val="0"/>
              <w:spacing w:before="0" w:after="283"/>
              <w:jc w:val="left"/>
              <w:rPr>
                <w:sz w:val="4"/>
                <w:szCs w:val="4"/>
              </w:rPr>
            </w:pPr>
            <w:r>
              <w:rPr>
                <w:sz w:val="4"/>
                <w:szCs w:val="4"/>
              </w:rPr>
            </w:r>
          </w:p>
        </w:tc>
        <w:tc>
          <w:tcPr>
            <w:tcW w:w="899"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10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10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1036" w:type="dxa"/>
            <w:tcBorders/>
            <w:vAlign w:val="center"/>
          </w:tcPr>
          <w:p>
            <w:pPr>
              <w:pStyle w:val="TableContents"/>
              <w:bidi w:val="0"/>
              <w:spacing w:before="0" w:after="283"/>
              <w:jc w:val="left"/>
              <w:rPr>
                <w:sz w:val="4"/>
                <w:szCs w:val="4"/>
              </w:rPr>
            </w:pPr>
            <w:r>
              <w:rPr>
                <w:sz w:val="4"/>
                <w:szCs w:val="4"/>
              </w:rPr>
            </w:r>
          </w:p>
        </w:tc>
        <w:tc>
          <w:tcPr>
            <w:tcW w:w="191" w:type="dxa"/>
            <w:tcBorders/>
            <w:vAlign w:val="center"/>
          </w:tcPr>
          <w:p>
            <w:pPr>
              <w:pStyle w:val="TableContents"/>
              <w:bidi w:val="0"/>
              <w:spacing w:before="0" w:after="283"/>
              <w:jc w:val="left"/>
              <w:rPr>
                <w:sz w:val="4"/>
                <w:szCs w:val="4"/>
              </w:rPr>
            </w:pPr>
            <w:r>
              <w:rPr>
                <w:sz w:val="4"/>
                <w:szCs w:val="4"/>
              </w:rPr>
            </w:r>
          </w:p>
        </w:tc>
      </w:tr>
      <w:tr>
        <w:trPr/>
        <w:tc>
          <w:tcPr>
            <w:tcW w:w="103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6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Approximate Number of Bitcoins Held at End of Quarter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Lowest Market Price Per Bitcoin During Quarter (a)</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Value of Bitcoin Held at End of Quarter Using Lowest Market Price (in thousands) (b)</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Highest Market Price Per Bitcoin During Quarter (c)</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Value of Bitcoin Held at End of Quarter Using Highest Market Price (in thousands) (d)</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Price Per Bitcoin at End of Quarter (e)</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Value of Bitcoin Held at End of Quarter Using Ending Market Price (in thousands) (f)</w:t>
            </w:r>
          </w:p>
        </w:tc>
        <w:tc>
          <w:tcPr>
            <w:tcW w:w="1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December 31, 2022</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132,500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15,460.00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2,048,450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21,478.80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2,845,941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16,556.32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2,193,712</w:t>
            </w:r>
          </w:p>
        </w:tc>
        <w:tc>
          <w:tcPr>
            <w:tcW w:w="191" w:type="dxa"/>
            <w:tcBorders/>
            <w:shd w:fill="FFFFFF" w:val="clear"/>
            <w:vAlign w:val="center"/>
          </w:tcPr>
          <w:p>
            <w:pPr>
              <w:pStyle w:val="TableContents"/>
              <w:bidi w:val="0"/>
              <w:spacing w:before="0" w:after="283"/>
              <w:jc w:val="left"/>
              <w:rPr/>
            </w:pPr>
            <w:r>
              <w:rPr/>
              <w:t> </w:t>
            </w:r>
          </w:p>
        </w:tc>
      </w:tr>
      <w:tr>
        <w:trPr/>
        <w:tc>
          <w:tcPr>
            <w:tcW w:w="1036" w:type="dxa"/>
            <w:tcBorders/>
            <w:shd w:fill="CFF0FC"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March 31, 2023</w:t>
            </w:r>
          </w:p>
        </w:tc>
        <w:tc>
          <w:tcPr>
            <w:tcW w:w="146" w:type="dxa"/>
            <w:tcBorders/>
            <w:shd w:fill="CFF0FC" w:val="clear"/>
            <w:vAlign w:val="center"/>
          </w:tcPr>
          <w:p>
            <w:pPr>
              <w:pStyle w:val="TableContents"/>
              <w:bidi w:val="0"/>
              <w:spacing w:before="0" w:after="283"/>
              <w:jc w:val="center"/>
              <w:rPr/>
            </w:pPr>
            <w:r>
              <w:rPr/>
              <w:t> </w:t>
            </w:r>
          </w:p>
        </w:tc>
        <w:tc>
          <w:tcPr>
            <w:tcW w:w="167" w:type="dxa"/>
            <w:tcBorders/>
            <w:shd w:fill="CFF0FC" w:val="clear"/>
            <w:vAlign w:val="center"/>
          </w:tcPr>
          <w:p>
            <w:pPr>
              <w:pStyle w:val="TableContents"/>
              <w:bidi w:val="0"/>
              <w:spacing w:before="0" w:after="283"/>
              <w:jc w:val="left"/>
              <w:rPr/>
            </w:pPr>
            <w:r>
              <w:rPr/>
              <w:t> </w:t>
            </w:r>
          </w:p>
        </w:tc>
        <w:tc>
          <w:tcPr>
            <w:tcW w:w="89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140,000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16,490.00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2,308,600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29,190.04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4,086,606</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28,468.44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3,985,582</w:t>
            </w:r>
          </w:p>
        </w:tc>
        <w:tc>
          <w:tcPr>
            <w:tcW w:w="191" w:type="dxa"/>
            <w:tcBorders/>
            <w:shd w:fill="CFF0FC" w:val="clear"/>
            <w:vAlign w:val="center"/>
          </w:tcPr>
          <w:p>
            <w:pPr>
              <w:pStyle w:val="TableContents"/>
              <w:bidi w:val="0"/>
              <w:spacing w:before="0" w:after="283"/>
              <w:jc w:val="left"/>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June 30, 2023</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152,333</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24,750.00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3,770,242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31,443.67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4,789,909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30,361.51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4,625,060</w:t>
            </w:r>
          </w:p>
        </w:tc>
        <w:tc>
          <w:tcPr>
            <w:tcW w:w="191" w:type="dxa"/>
            <w:tcBorders/>
            <w:shd w:fill="FFFFFF" w:val="clear"/>
            <w:vAlign w:val="center"/>
          </w:tcPr>
          <w:p>
            <w:pPr>
              <w:pStyle w:val="TableContents"/>
              <w:bidi w:val="0"/>
              <w:spacing w:before="0" w:after="283"/>
              <w:jc w:val="left"/>
              <w:rPr/>
            </w:pPr>
            <w:r>
              <w:rPr/>
              <w:t> </w:t>
            </w:r>
          </w:p>
        </w:tc>
      </w:tr>
      <w:tr>
        <w:trPr/>
        <w:tc>
          <w:tcPr>
            <w:tcW w:w="1036" w:type="dxa"/>
            <w:tcBorders/>
            <w:shd w:fill="CFF0FC"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September 30, 2023</w:t>
            </w:r>
          </w:p>
        </w:tc>
        <w:tc>
          <w:tcPr>
            <w:tcW w:w="146" w:type="dxa"/>
            <w:tcBorders/>
            <w:shd w:fill="CFF0FC" w:val="clear"/>
            <w:vAlign w:val="center"/>
          </w:tcPr>
          <w:p>
            <w:pPr>
              <w:pStyle w:val="TableContents"/>
              <w:bidi w:val="0"/>
              <w:spacing w:before="0" w:after="283"/>
              <w:jc w:val="center"/>
              <w:rPr/>
            </w:pPr>
            <w:r>
              <w:rPr/>
              <w:t> </w:t>
            </w:r>
          </w:p>
        </w:tc>
        <w:tc>
          <w:tcPr>
            <w:tcW w:w="167" w:type="dxa"/>
            <w:tcBorders/>
            <w:shd w:fill="CFF0FC" w:val="clear"/>
            <w:vAlign w:val="center"/>
          </w:tcPr>
          <w:p>
            <w:pPr>
              <w:pStyle w:val="TableContents"/>
              <w:bidi w:val="0"/>
              <w:spacing w:before="0" w:after="283"/>
              <w:jc w:val="left"/>
              <w:rPr/>
            </w:pPr>
            <w:r>
              <w:rPr/>
              <w:t> </w:t>
            </w:r>
          </w:p>
        </w:tc>
        <w:tc>
          <w:tcPr>
            <w:tcW w:w="89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158,245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24,900.00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3,940,301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31,862.21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5,042,035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27,030.47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4,277,437</w:t>
            </w:r>
          </w:p>
        </w:tc>
        <w:tc>
          <w:tcPr>
            <w:tcW w:w="191" w:type="dxa"/>
            <w:tcBorders/>
            <w:shd w:fill="CFF0FC" w:val="clear"/>
            <w:vAlign w:val="center"/>
          </w:tcPr>
          <w:p>
            <w:pPr>
              <w:pStyle w:val="TableContents"/>
              <w:bidi w:val="0"/>
              <w:spacing w:before="0" w:after="283"/>
              <w:jc w:val="left"/>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December 31, 2023</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189,150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26,521.32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5,016,508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45,000.00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8,511,750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42,531.41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8,044,816</w:t>
            </w:r>
          </w:p>
        </w:tc>
        <w:tc>
          <w:tcPr>
            <w:tcW w:w="191" w:type="dxa"/>
            <w:tcBorders/>
            <w:shd w:fill="FFFFFF" w:val="clear"/>
            <w:vAlign w:val="center"/>
          </w:tcPr>
          <w:p>
            <w:pPr>
              <w:pStyle w:val="TableContents"/>
              <w:bidi w:val="0"/>
              <w:spacing w:before="0" w:after="283"/>
              <w:jc w:val="left"/>
              <w:rPr/>
            </w:pPr>
            <w:r>
              <w:rPr/>
              <w:t> </w:t>
            </w:r>
          </w:p>
        </w:tc>
      </w:tr>
      <w:tr>
        <w:trPr/>
        <w:tc>
          <w:tcPr>
            <w:tcW w:w="1036" w:type="dxa"/>
            <w:tcBorders/>
            <w:shd w:fill="CFF0FC"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March 31, 2024</w:t>
            </w:r>
          </w:p>
        </w:tc>
        <w:tc>
          <w:tcPr>
            <w:tcW w:w="146" w:type="dxa"/>
            <w:tcBorders/>
            <w:shd w:fill="CFF0FC" w:val="clear"/>
            <w:vAlign w:val="center"/>
          </w:tcPr>
          <w:p>
            <w:pPr>
              <w:pStyle w:val="TableContents"/>
              <w:bidi w:val="0"/>
              <w:spacing w:before="0" w:after="283"/>
              <w:jc w:val="center"/>
              <w:rPr/>
            </w:pPr>
            <w:r>
              <w:rPr/>
              <w:t> </w:t>
            </w:r>
          </w:p>
        </w:tc>
        <w:tc>
          <w:tcPr>
            <w:tcW w:w="167" w:type="dxa"/>
            <w:tcBorders/>
            <w:shd w:fill="CFF0FC" w:val="clear"/>
            <w:vAlign w:val="center"/>
          </w:tcPr>
          <w:p>
            <w:pPr>
              <w:pStyle w:val="TableContents"/>
              <w:bidi w:val="0"/>
              <w:spacing w:before="0" w:after="283"/>
              <w:jc w:val="left"/>
              <w:rPr/>
            </w:pPr>
            <w:r>
              <w:rPr/>
              <w:t> </w:t>
            </w:r>
          </w:p>
        </w:tc>
        <w:tc>
          <w:tcPr>
            <w:tcW w:w="89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214,278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38,501.00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8,249,917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73,835.57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15,821,338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71,028.14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15,219,768</w:t>
            </w:r>
          </w:p>
        </w:tc>
        <w:tc>
          <w:tcPr>
            <w:tcW w:w="191" w:type="dxa"/>
            <w:tcBorders/>
            <w:shd w:fill="CFF0FC" w:val="clear"/>
            <w:vAlign w:val="center"/>
          </w:tcPr>
          <w:p>
            <w:pPr>
              <w:pStyle w:val="TableContents"/>
              <w:bidi w:val="0"/>
              <w:spacing w:before="0" w:after="283"/>
              <w:jc w:val="left"/>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June 30, 2024</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226,331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56,500.00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12,787,702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72,777.00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16,471,691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61,926.69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14,015,930</w:t>
            </w:r>
          </w:p>
        </w:tc>
        <w:tc>
          <w:tcPr>
            <w:tcW w:w="191" w:type="dxa"/>
            <w:tcBorders/>
            <w:shd w:fill="FFFFFF" w:val="cle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rFonts w:ascii="Times New Roman" w:hAnsi="Times New Roman"/>
          <w:color w:val="000000"/>
          <w:sz w:val="18"/>
        </w:rPr>
      </w:pPr>
      <w:r>
        <w:rPr>
          <w:rFonts w:ascii="Times New Roman" w:hAnsi="Times New Roman"/>
          <w:color w:val="000000"/>
          <w:sz w:val="18"/>
        </w:rPr>
        <w:t>* MicroStrategy owns and has purchased bitcoins both directly and indirectly through its wholly-owned subsidiary, MacroStrategy. References to MicroStrategy below refer to MicroStrategy and its subsidiaries on a consolidated basis.</w:t>
      </w:r>
    </w:p>
    <w:p>
      <w:pPr>
        <w:pStyle w:val="TextBody"/>
        <w:bidi w:val="0"/>
        <w:jc w:val="left"/>
        <w:rPr/>
      </w:pPr>
      <w:r>
        <w:rPr/>
        <w:t> </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(a)</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"Lowest Market Price Per Bitcoin During Quarter" represents the lowest market price for one bitcoin reported on the Coinbase exchange during the respective quarter, without regard to when MicroStrategy purchased any of its bitcoin.</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(b)</w:t>
      </w:r>
    </w:p>
    <w:p>
      <w:pPr>
        <w:pStyle w:val="TextBody"/>
        <w:bidi w:val="0"/>
        <w:spacing w:before="0" w:after="200"/>
        <w:jc w:val="both"/>
        <w:rPr/>
      </w:pPr>
      <w:r>
        <w:rPr>
          <w:rFonts w:ascii="Times New Roman" w:hAnsi="Times New Roman"/>
          <w:color w:val="000000"/>
          <w:sz w:val="18"/>
        </w:rPr>
        <w:t>The "Market Value of Bitcoin Held</w:t>
      </w:r>
      <w:r>
        <w:rPr>
          <w:color w:val="000000"/>
        </w:rPr>
        <w:t xml:space="preserve"> </w:t>
      </w:r>
      <w:r>
        <w:rPr>
          <w:rFonts w:ascii="Times New Roman" w:hAnsi="Times New Roman"/>
          <w:color w:val="000000"/>
          <w:sz w:val="18"/>
        </w:rPr>
        <w:t>at End of Quarter Using Lowest Market Price" represents a mathematical calculation consisting of the lowest market price for one bitcoin reported on the Coinbase exchange during the respective quarter multiplied by the number of bitcoins held by MicroStrategy at the end of the applicable period.</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(c)</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"Highest Market Price Per Bitcoin During Quarter" represents the highest market price for one bitcoin reported on the Coinbase exchange during the respective quarter, without regard to when MicroStrategy purchased any of its bitcoin.</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(d)</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"Market Value of Bitcoin Held at End of Quarter Using Highest Market Price" represents a mathematical calculation consisting of the highest market price for one bitcoin reported on the Coinbase exchange during the respective quarter multiplied by the number of bitcoins held by MicroStrategy at the end of the applicable period.</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(e)</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"Market Price Per Bitcoin at End of Quarter" represents the market price of one bitcoin on the Coinbase exchange at 4:00 p.m. Eastern Time on the last day of the respective quarter.</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(f)</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"Market Value of Bitcoin Held at End of Quarter Using Ending Market Price" represents a mathematical calculation consisting of the market price of one bitcoin on the Coinbase exchange at 4:00 p.m. Eastern Time on the last day of the respective quarter multiplied by the number of bitcoins held by MicroStrategy at the end of the applicable period.</w:t>
      </w:r>
    </w:p>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The amounts reported as “Market Value” in the above table represent only a mathematical calculation consisting of the price for one bitcoin reported on the Coinbase exchange (MicroStrategy’s principal market for bitcoin) in each scenario defined above multiplied by the number of bitcoins held by MicroStrategy at the end of the applicable period. Bitcoin and bitcoin markets may be subject to manipulation and the spot price of bitcoin may be subject to fraud and manipulation. Accordingly, the Market Value amounts reported above may not accurately represent fair market value, and the actual fair market value of MicroStrategy’s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MicroStrategy may not be able to sell its bitcoins at the Market Value amounts indicated above, at the market price as reported on the Coinbase exchange (its principal market) on the date of sale, or at all.</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RECONCILIATION OF GAAP TO NON-GAAP MEASURES</w:t>
      </w:r>
    </w:p>
    <w:p>
      <w:pPr>
        <w:pStyle w:val="TextBody"/>
        <w:bidi w:val="0"/>
        <w:jc w:val="center"/>
        <w:rPr>
          <w:rFonts w:ascii="Times New Roman" w:hAnsi="Times New Roman"/>
          <w:b/>
          <w:color w:val="000000"/>
          <w:sz w:val="20"/>
        </w:rPr>
      </w:pPr>
      <w:r>
        <w:rPr>
          <w:rFonts w:ascii="Times New Roman" w:hAnsi="Times New Roman"/>
          <w:b/>
          <w:color w:val="000000"/>
          <w:sz w:val="20"/>
        </w:rPr>
        <w:t>LOSS FROM OPERATIONS</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center"/>
        <w:rPr/>
      </w:pPr>
      <w:r>
        <w:rPr/>
        <w:t> </w:t>
      </w:r>
    </w:p>
    <w:tbl>
      <w:tblPr>
        <w:tblW w:w="10022" w:type="dxa"/>
        <w:jc w:val="left"/>
        <w:tblInd w:w="0" w:type="dxa"/>
        <w:tblLayout w:type="fixed"/>
        <w:tblCellMar>
          <w:top w:w="28" w:type="dxa"/>
          <w:left w:w="28" w:type="dxa"/>
          <w:bottom w:w="28" w:type="dxa"/>
          <w:right w:w="28" w:type="dxa"/>
        </w:tblCellMar>
      </w:tblPr>
      <w:tblGrid>
        <w:gridCol w:w="4351"/>
        <w:gridCol w:w="146"/>
        <w:gridCol w:w="211"/>
        <w:gridCol w:w="841"/>
        <w:gridCol w:w="166"/>
        <w:gridCol w:w="146"/>
        <w:gridCol w:w="211"/>
        <w:gridCol w:w="736"/>
        <w:gridCol w:w="166"/>
        <w:gridCol w:w="146"/>
        <w:gridCol w:w="211"/>
        <w:gridCol w:w="841"/>
        <w:gridCol w:w="166"/>
        <w:gridCol w:w="146"/>
        <w:gridCol w:w="211"/>
        <w:gridCol w:w="736"/>
        <w:gridCol w:w="591"/>
      </w:tblGrid>
      <w:tr>
        <w:trPr/>
        <w:tc>
          <w:tcPr>
            <w:tcW w:w="435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36"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36" w:type="dxa"/>
            <w:tcBorders/>
            <w:vAlign w:val="center"/>
          </w:tcPr>
          <w:p>
            <w:pPr>
              <w:pStyle w:val="TableContents"/>
              <w:bidi w:val="0"/>
              <w:spacing w:before="0" w:after="283"/>
              <w:jc w:val="left"/>
              <w:rPr>
                <w:sz w:val="4"/>
                <w:szCs w:val="4"/>
              </w:rPr>
            </w:pPr>
            <w:r>
              <w:rPr>
                <w:sz w:val="4"/>
                <w:szCs w:val="4"/>
              </w:rPr>
            </w:r>
          </w:p>
        </w:tc>
        <w:tc>
          <w:tcPr>
            <w:tcW w:w="591" w:type="dxa"/>
            <w:tcBorders/>
            <w:vAlign w:val="center"/>
          </w:tcPr>
          <w:p>
            <w:pPr>
              <w:pStyle w:val="TableContents"/>
              <w:bidi w:val="0"/>
              <w:spacing w:before="0" w:after="283"/>
              <w:jc w:val="left"/>
              <w:rPr>
                <w:sz w:val="4"/>
                <w:szCs w:val="4"/>
              </w:rPr>
            </w:pPr>
            <w:r>
              <w:rPr>
                <w:sz w:val="4"/>
                <w:szCs w:val="4"/>
              </w:rPr>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11"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2311"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w:t>
            </w:r>
          </w:p>
        </w:tc>
        <w:tc>
          <w:tcPr>
            <w:tcW w:w="591" w:type="dxa"/>
            <w:tcBorders/>
            <w:shd w:fill="FFFFFF" w:val="clear"/>
            <w:vAlign w:val="center"/>
          </w:tcPr>
          <w:p>
            <w:pPr>
              <w:pStyle w:val="TableContents"/>
              <w:bidi w:val="0"/>
              <w:spacing w:before="0" w:after="283"/>
              <w:jc w:val="center"/>
              <w:rPr/>
            </w:pPr>
            <w:r>
              <w:rPr/>
              <w:t> </w:t>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11"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2311"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47"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47"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1" w:type="dxa"/>
            <w:tcBorders/>
            <w:shd w:fill="FFFFFF" w:val="clear"/>
            <w:vAlign w:val="center"/>
          </w:tcPr>
          <w:p>
            <w:pPr>
              <w:pStyle w:val="TableContents"/>
              <w:bidi w:val="0"/>
              <w:spacing w:before="0" w:after="283"/>
              <w:jc w:val="center"/>
              <w:rPr/>
            </w:pPr>
            <w:r>
              <w:rPr/>
              <w:t> </w:t>
            </w:r>
          </w:p>
        </w:tc>
      </w:tr>
      <w:tr>
        <w:trPr/>
        <w:tc>
          <w:tcPr>
            <w:tcW w:w="4351"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Reconciliation of non-GAAP loss from operations:</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47"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47" w:type="dxa"/>
            <w:gridSpan w:val="2"/>
            <w:tcBorders/>
            <w:shd w:fill="CFF0FC" w:val="clear"/>
            <w:vAlign w:val="center"/>
          </w:tcPr>
          <w:p>
            <w:pPr>
              <w:pStyle w:val="TableContents"/>
              <w:bidi w:val="0"/>
              <w:spacing w:before="0" w:after="283"/>
              <w:jc w:val="left"/>
              <w:rPr/>
            </w:pPr>
            <w:r>
              <w:rPr/>
              <w:t> </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51"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Loss from operations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(200,274</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(26,708</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(403,976</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(47,015</w:t>
            </w:r>
          </w:p>
        </w:tc>
        <w:tc>
          <w:tcPr>
            <w:tcW w:w="59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351"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Share-based compensation expense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20,621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3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15,494</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38,412</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3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33,049</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51" w:type="dxa"/>
            <w:tcBorders/>
            <w:shd w:fill="FFFFFF"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Non-GAAP loss from operations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(179,653</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3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(11,214</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(365,564</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3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(13,966</w:t>
            </w:r>
          </w:p>
        </w:tc>
        <w:tc>
          <w:tcPr>
            <w:tcW w:w="5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center"/>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RECONCILIATION OF GAAP TO NON-GAAP MEASURES</w:t>
      </w:r>
    </w:p>
    <w:p>
      <w:pPr>
        <w:pStyle w:val="TextBody"/>
        <w:bidi w:val="0"/>
        <w:jc w:val="center"/>
        <w:rPr>
          <w:rFonts w:ascii="Times New Roman" w:hAnsi="Times New Roman"/>
          <w:b/>
          <w:color w:val="000000"/>
          <w:sz w:val="20"/>
        </w:rPr>
      </w:pPr>
      <w:r>
        <w:rPr>
          <w:rFonts w:ascii="Times New Roman" w:hAnsi="Times New Roman"/>
          <w:b/>
          <w:color w:val="000000"/>
          <w:sz w:val="20"/>
        </w:rPr>
        <w:t>NET (LOSS) INCOME AND DILUTED (LOSS) EARNINGS PER SHARE</w:t>
      </w:r>
    </w:p>
    <w:p>
      <w:pPr>
        <w:pStyle w:val="TextBody"/>
        <w:bidi w:val="0"/>
        <w:jc w:val="center"/>
        <w:rPr>
          <w:rFonts w:ascii="Times New Roman" w:hAnsi="Times New Roman"/>
          <w:b/>
          <w:color w:val="000000"/>
          <w:sz w:val="20"/>
        </w:rPr>
      </w:pPr>
      <w:r>
        <w:rPr>
          <w:rFonts w:ascii="Times New Roman" w:hAnsi="Times New Roman"/>
          <w:b/>
          <w:color w:val="000000"/>
          <w:sz w:val="20"/>
        </w:rPr>
        <w:t>(in thousands, except per share data)</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4534"/>
        <w:gridCol w:w="146"/>
        <w:gridCol w:w="211"/>
        <w:gridCol w:w="841"/>
        <w:gridCol w:w="166"/>
        <w:gridCol w:w="146"/>
        <w:gridCol w:w="214"/>
        <w:gridCol w:w="687"/>
        <w:gridCol w:w="166"/>
        <w:gridCol w:w="146"/>
        <w:gridCol w:w="211"/>
        <w:gridCol w:w="841"/>
        <w:gridCol w:w="166"/>
        <w:gridCol w:w="146"/>
        <w:gridCol w:w="211"/>
        <w:gridCol w:w="781"/>
        <w:gridCol w:w="592"/>
      </w:tblGrid>
      <w:tr>
        <w:trPr/>
        <w:tc>
          <w:tcPr>
            <w:tcW w:w="4534"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4" w:type="dxa"/>
            <w:tcBorders/>
            <w:vAlign w:val="center"/>
          </w:tcPr>
          <w:p>
            <w:pPr>
              <w:pStyle w:val="TableContents"/>
              <w:bidi w:val="0"/>
              <w:spacing w:before="0" w:after="283"/>
              <w:jc w:val="left"/>
              <w:rPr>
                <w:sz w:val="4"/>
                <w:szCs w:val="4"/>
              </w:rPr>
            </w:pPr>
            <w:r>
              <w:rPr>
                <w:sz w:val="4"/>
                <w:szCs w:val="4"/>
              </w:rPr>
            </w:r>
          </w:p>
        </w:tc>
        <w:tc>
          <w:tcPr>
            <w:tcW w:w="687"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592" w:type="dxa"/>
            <w:tcBorders/>
            <w:vAlign w:val="center"/>
          </w:tcPr>
          <w:p>
            <w:pPr>
              <w:pStyle w:val="TableContents"/>
              <w:bidi w:val="0"/>
              <w:spacing w:before="0" w:after="283"/>
              <w:jc w:val="left"/>
              <w:rPr>
                <w:sz w:val="4"/>
                <w:szCs w:val="4"/>
              </w:rPr>
            </w:pPr>
            <w:r>
              <w:rPr>
                <w:sz w:val="4"/>
                <w:szCs w:val="4"/>
              </w:rPr>
            </w:r>
          </w:p>
        </w:tc>
      </w:tr>
      <w:tr>
        <w:trPr/>
        <w:tc>
          <w:tcPr>
            <w:tcW w:w="4534"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265"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235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w:t>
            </w:r>
          </w:p>
        </w:tc>
        <w:tc>
          <w:tcPr>
            <w:tcW w:w="592" w:type="dxa"/>
            <w:tcBorders/>
            <w:shd w:fill="FFFFFF" w:val="clear"/>
            <w:vAlign w:val="center"/>
          </w:tcPr>
          <w:p>
            <w:pPr>
              <w:pStyle w:val="TableContents"/>
              <w:bidi w:val="0"/>
              <w:spacing w:before="0" w:after="283"/>
              <w:jc w:val="center"/>
              <w:rPr/>
            </w:pPr>
            <w:r>
              <w:rPr/>
              <w:t> </w:t>
            </w:r>
          </w:p>
        </w:tc>
      </w:tr>
      <w:tr>
        <w:trPr/>
        <w:tc>
          <w:tcPr>
            <w:tcW w:w="4534"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265"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235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59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534"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01"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534"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01"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2" w:type="dxa"/>
            <w:tcBorders/>
            <w:shd w:fill="FFFFFF" w:val="clear"/>
            <w:vAlign w:val="center"/>
          </w:tcPr>
          <w:p>
            <w:pPr>
              <w:pStyle w:val="TableContents"/>
              <w:bidi w:val="0"/>
              <w:spacing w:before="0" w:after="283"/>
              <w:jc w:val="center"/>
              <w:rPr/>
            </w:pPr>
            <w:r>
              <w:rPr/>
              <w:t> </w:t>
            </w:r>
          </w:p>
        </w:tc>
      </w:tr>
      <w:tr>
        <w:trPr/>
        <w:tc>
          <w:tcPr>
            <w:tcW w:w="453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Reconciliation of non-GAAP net (loss) income:</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592" w:type="dxa"/>
            <w:tcBorders/>
            <w:shd w:fill="CFF0FC" w:val="clear"/>
            <w:vAlign w:val="center"/>
          </w:tcPr>
          <w:p>
            <w:pPr>
              <w:pStyle w:val="TableContents"/>
              <w:bidi w:val="0"/>
              <w:spacing w:before="0" w:after="283"/>
              <w:ind w:left="0" w:right="0" w:firstLine="200"/>
              <w:jc w:val="left"/>
              <w:rPr/>
            </w:pPr>
            <w:r>
              <w:rPr/>
              <w:t> </w:t>
            </w:r>
          </w:p>
        </w:tc>
      </w:tr>
      <w:tr>
        <w:trPr/>
        <w:tc>
          <w:tcPr>
            <w:tcW w:w="453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Net (loss) income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(102,559</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4"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68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22,243</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(155,677</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483,436</w:t>
            </w:r>
          </w:p>
        </w:tc>
        <w:tc>
          <w:tcPr>
            <w:tcW w:w="592" w:type="dxa"/>
            <w:tcBorders/>
            <w:shd w:fill="FFFFFF" w:val="clear"/>
            <w:vAlign w:val="center"/>
          </w:tcPr>
          <w:p>
            <w:pPr>
              <w:pStyle w:val="TableContents"/>
              <w:bidi w:val="0"/>
              <w:spacing w:before="0" w:after="283"/>
              <w:ind w:left="0" w:right="0" w:firstLine="200"/>
              <w:jc w:val="left"/>
              <w:rPr/>
            </w:pPr>
            <w:r>
              <w:rPr/>
              <w:t> </w:t>
            </w:r>
          </w:p>
        </w:tc>
      </w:tr>
      <w:tr>
        <w:trPr/>
        <w:tc>
          <w:tcPr>
            <w:tcW w:w="453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Share-based compensation expense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20,621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4" w:type="dxa"/>
            <w:tcBorders/>
            <w:shd w:fill="CFF0FC" w:val="clear"/>
            <w:vAlign w:val="center"/>
          </w:tcPr>
          <w:p>
            <w:pPr>
              <w:pStyle w:val="TableContents"/>
              <w:bidi w:val="0"/>
              <w:spacing w:before="0" w:after="283"/>
              <w:jc w:val="left"/>
              <w:rPr/>
            </w:pPr>
            <w:r>
              <w:rPr/>
              <w:t> </w:t>
            </w:r>
          </w:p>
        </w:tc>
        <w:tc>
          <w:tcPr>
            <w:tcW w:w="68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15,494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38,412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33,049</w:t>
            </w:r>
          </w:p>
        </w:tc>
        <w:tc>
          <w:tcPr>
            <w:tcW w:w="592" w:type="dxa"/>
            <w:tcBorders/>
            <w:shd w:fill="CFF0FC" w:val="clear"/>
            <w:vAlign w:val="center"/>
          </w:tcPr>
          <w:p>
            <w:pPr>
              <w:pStyle w:val="TableContents"/>
              <w:bidi w:val="0"/>
              <w:spacing w:before="0" w:after="283"/>
              <w:ind w:left="0" w:right="0" w:firstLine="200"/>
              <w:jc w:val="left"/>
              <w:rPr/>
            </w:pPr>
            <w:r>
              <w:rPr/>
              <w:t> </w:t>
            </w:r>
          </w:p>
        </w:tc>
      </w:tr>
      <w:tr>
        <w:trPr/>
        <w:tc>
          <w:tcPr>
            <w:tcW w:w="453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Interest expense arising from amortization of debt issuance costs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3,842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4" w:type="dxa"/>
            <w:tcBorders/>
            <w:shd w:fill="FFFFFF" w:val="clear"/>
            <w:vAlign w:val="center"/>
          </w:tcPr>
          <w:p>
            <w:pPr>
              <w:pStyle w:val="TableContents"/>
              <w:bidi w:val="0"/>
              <w:spacing w:before="0" w:after="283"/>
              <w:jc w:val="left"/>
              <w:rPr/>
            </w:pPr>
            <w:r>
              <w:rPr/>
              <w:t> </w:t>
            </w:r>
          </w:p>
        </w:tc>
        <w:tc>
          <w:tcPr>
            <w:tcW w:w="68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2,190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6,399</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4,400</w:t>
            </w:r>
          </w:p>
        </w:tc>
        <w:tc>
          <w:tcPr>
            <w:tcW w:w="592" w:type="dxa"/>
            <w:tcBorders/>
            <w:shd w:fill="FFFFFF" w:val="clear"/>
            <w:vAlign w:val="center"/>
          </w:tcPr>
          <w:p>
            <w:pPr>
              <w:pStyle w:val="TableContents"/>
              <w:bidi w:val="0"/>
              <w:spacing w:before="0" w:after="283"/>
              <w:ind w:left="0" w:right="0" w:firstLine="200"/>
              <w:jc w:val="left"/>
              <w:rPr/>
            </w:pPr>
            <w:r>
              <w:rPr/>
              <w:t> </w:t>
            </w:r>
          </w:p>
        </w:tc>
      </w:tr>
      <w:tr>
        <w:trPr/>
        <w:tc>
          <w:tcPr>
            <w:tcW w:w="453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Gain on debt extinguishment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4" w:type="dxa"/>
            <w:tcBorders/>
            <w:shd w:fill="CFF0FC" w:val="clear"/>
            <w:vAlign w:val="center"/>
          </w:tcPr>
          <w:p>
            <w:pPr>
              <w:pStyle w:val="TableContents"/>
              <w:bidi w:val="0"/>
              <w:spacing w:before="0" w:after="283"/>
              <w:jc w:val="left"/>
              <w:rPr/>
            </w:pPr>
            <w:r>
              <w:rPr/>
              <w:t> </w:t>
            </w:r>
          </w:p>
        </w:tc>
        <w:tc>
          <w:tcPr>
            <w:tcW w:w="68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(44,686</w:t>
            </w:r>
          </w:p>
        </w:tc>
        <w:tc>
          <w:tcPr>
            <w:tcW w:w="592"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53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Income tax effects (1)</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(57,962</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68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(2,998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(167,200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5,768</w:t>
            </w:r>
          </w:p>
        </w:tc>
        <w:tc>
          <w:tcPr>
            <w:tcW w:w="592"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534"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Non-GAAP net (loss) income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(136,058</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4"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687"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36,929</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(278,066</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481,967</w:t>
            </w:r>
          </w:p>
        </w:tc>
        <w:tc>
          <w:tcPr>
            <w:tcW w:w="592" w:type="dxa"/>
            <w:tcBorders>
              <w:bottom w:val="double" w:sz="6" w:space="0" w:color="000000"/>
            </w:tcBorders>
            <w:shd w:fill="CFF0FC"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4534" w:type="dxa"/>
            <w:tcBorders/>
            <w:shd w:fill="FFFFFF" w:val="clear"/>
            <w:vAlign w:val="center"/>
          </w:tcPr>
          <w:p>
            <w:pPr>
              <w:pStyle w:val="TableContents"/>
              <w:bidi w:val="0"/>
              <w:spacing w:before="0" w:after="283"/>
              <w:ind w:left="200" w:right="0" w:firstLine="200"/>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01"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592" w:type="dxa"/>
            <w:tcBorders/>
            <w:shd w:fill="FFFFFF" w:val="clear"/>
            <w:vAlign w:val="center"/>
          </w:tcPr>
          <w:p>
            <w:pPr>
              <w:pStyle w:val="TableContents"/>
              <w:bidi w:val="0"/>
              <w:spacing w:before="0" w:after="283"/>
              <w:jc w:val="left"/>
              <w:rPr/>
            </w:pPr>
            <w:r>
              <w:rPr/>
              <w:t> </w:t>
            </w:r>
          </w:p>
        </w:tc>
      </w:tr>
      <w:tr>
        <w:trPr/>
        <w:tc>
          <w:tcPr>
            <w:tcW w:w="453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Reconciliation of non-GAAP diluted (loss) earnings per share (2):</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592" w:type="dxa"/>
            <w:tcBorders/>
            <w:shd w:fill="CFF0FC" w:val="clear"/>
            <w:vAlign w:val="center"/>
          </w:tcPr>
          <w:p>
            <w:pPr>
              <w:pStyle w:val="TableContents"/>
              <w:bidi w:val="0"/>
              <w:spacing w:before="0" w:after="283"/>
              <w:ind w:left="0" w:right="0" w:firstLine="200"/>
              <w:jc w:val="left"/>
              <w:rPr/>
            </w:pPr>
            <w:r>
              <w:rPr/>
              <w:t> </w:t>
            </w:r>
          </w:p>
        </w:tc>
      </w:tr>
      <w:tr>
        <w:trPr/>
        <w:tc>
          <w:tcPr>
            <w:tcW w:w="453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Diluted (loss) earnings per share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(5.74</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4"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68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(8.88</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33.56</w:t>
            </w:r>
          </w:p>
        </w:tc>
        <w:tc>
          <w:tcPr>
            <w:tcW w:w="592" w:type="dxa"/>
            <w:tcBorders/>
            <w:shd w:fill="FFFFFF" w:val="clear"/>
            <w:vAlign w:val="center"/>
          </w:tcPr>
          <w:p>
            <w:pPr>
              <w:pStyle w:val="TableContents"/>
              <w:bidi w:val="0"/>
              <w:spacing w:before="0" w:after="283"/>
              <w:ind w:left="0" w:right="0" w:firstLine="200"/>
              <w:jc w:val="left"/>
              <w:rPr/>
            </w:pPr>
            <w:r>
              <w:rPr/>
              <w:t> </w:t>
            </w:r>
          </w:p>
        </w:tc>
      </w:tr>
      <w:tr>
        <w:trPr/>
        <w:tc>
          <w:tcPr>
            <w:tcW w:w="453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Share-based compensation expense (per diluted share)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4" w:type="dxa"/>
            <w:tcBorders/>
            <w:shd w:fill="CFF0FC" w:val="clear"/>
            <w:vAlign w:val="center"/>
          </w:tcPr>
          <w:p>
            <w:pPr>
              <w:pStyle w:val="TableContents"/>
              <w:bidi w:val="0"/>
              <w:spacing w:before="0" w:after="283"/>
              <w:jc w:val="left"/>
              <w:rPr/>
            </w:pPr>
            <w:r>
              <w:rPr/>
              <w:t> </w:t>
            </w:r>
          </w:p>
        </w:tc>
        <w:tc>
          <w:tcPr>
            <w:tcW w:w="68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0.96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2.19</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2.27</w:t>
            </w:r>
          </w:p>
        </w:tc>
        <w:tc>
          <w:tcPr>
            <w:tcW w:w="592" w:type="dxa"/>
            <w:tcBorders/>
            <w:shd w:fill="CFF0FC" w:val="clear"/>
            <w:vAlign w:val="center"/>
          </w:tcPr>
          <w:p>
            <w:pPr>
              <w:pStyle w:val="TableContents"/>
              <w:bidi w:val="0"/>
              <w:spacing w:before="0" w:after="283"/>
              <w:ind w:left="0" w:right="0" w:firstLine="200"/>
              <w:jc w:val="left"/>
              <w:rPr/>
            </w:pPr>
            <w:r>
              <w:rPr/>
              <w:t> </w:t>
            </w:r>
          </w:p>
        </w:tc>
      </w:tr>
      <w:tr>
        <w:trPr/>
        <w:tc>
          <w:tcPr>
            <w:tcW w:w="453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Interest expense arising from amortization of debt issuance costs (per diluted share) (3)</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0.22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4" w:type="dxa"/>
            <w:tcBorders/>
            <w:shd w:fill="FFFFFF" w:val="clear"/>
            <w:vAlign w:val="center"/>
          </w:tcPr>
          <w:p>
            <w:pPr>
              <w:pStyle w:val="TableContents"/>
              <w:bidi w:val="0"/>
              <w:spacing w:before="0" w:after="283"/>
              <w:jc w:val="left"/>
              <w:rPr/>
            </w:pPr>
            <w:r>
              <w:rPr/>
              <w:t> </w:t>
            </w:r>
          </w:p>
        </w:tc>
        <w:tc>
          <w:tcPr>
            <w:tcW w:w="68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0.03</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0.37</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0.06</w:t>
            </w:r>
          </w:p>
        </w:tc>
        <w:tc>
          <w:tcPr>
            <w:tcW w:w="592" w:type="dxa"/>
            <w:tcBorders/>
            <w:shd w:fill="FFFFFF" w:val="clear"/>
            <w:vAlign w:val="center"/>
          </w:tcPr>
          <w:p>
            <w:pPr>
              <w:pStyle w:val="TableContents"/>
              <w:bidi w:val="0"/>
              <w:spacing w:before="0" w:after="283"/>
              <w:ind w:left="0" w:right="0" w:firstLine="200"/>
              <w:jc w:val="left"/>
              <w:rPr/>
            </w:pPr>
            <w:r>
              <w:rPr/>
              <w:t> </w:t>
            </w:r>
          </w:p>
        </w:tc>
      </w:tr>
      <w:tr>
        <w:trPr/>
        <w:tc>
          <w:tcPr>
            <w:tcW w:w="4534"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Gain on debt extinguishment (per diluted share)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4" w:type="dxa"/>
            <w:tcBorders/>
            <w:shd w:fill="CFF0FC" w:val="clear"/>
            <w:vAlign w:val="center"/>
          </w:tcPr>
          <w:p>
            <w:pPr>
              <w:pStyle w:val="TableContents"/>
              <w:bidi w:val="0"/>
              <w:spacing w:before="0" w:after="283"/>
              <w:jc w:val="left"/>
              <w:rPr/>
            </w:pPr>
            <w:r>
              <w:rPr/>
              <w:t> </w:t>
            </w:r>
          </w:p>
        </w:tc>
        <w:tc>
          <w:tcPr>
            <w:tcW w:w="68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(3.07</w:t>
            </w:r>
          </w:p>
        </w:tc>
        <w:tc>
          <w:tcPr>
            <w:tcW w:w="592"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534"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Income tax effects (per diluted share) (3)</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68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(0.16</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(9.54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0.46</w:t>
            </w:r>
          </w:p>
        </w:tc>
        <w:tc>
          <w:tcPr>
            <w:tcW w:w="592"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534"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Non-GAAP diluted (loss) earnings per share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(7.62</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4"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687"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2.35</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(15.86</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33.28</w:t>
            </w:r>
          </w:p>
        </w:tc>
        <w:tc>
          <w:tcPr>
            <w:tcW w:w="592"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(1)</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Income tax effects reflect the net tax effects of share-based compensation, which includes tax benefits and expenses on exercises of stock options and vesting of share-settled restricted stock units, interest expense for amortization of debt issuance costs, and gain on debt extinguishment.</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(2)</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MicroStrategy’s share-based compensation arrangements and convertible notes are excluded from the GAAP diluted loss per share calculation as they would be antidilutive, and therefore are also excluded from the non-GAAP diluted earnings or loss per share calculation.</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(3)</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For the three and six months ended June 30, 2023, interest expense from the amortization of issuance costs of the convertible notes has been added back to the numerator in the GAAP diluted earnings per share calculation,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three and six months ended June 30, 2023.</w:t>
      </w:r>
    </w:p>
    <w:p>
      <w:pPr>
        <w:pStyle w:val="TextBody"/>
        <w:bidi w:val="0"/>
        <w:jc w:val="both"/>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RECONCILIATION OF GAAP TO NON-GAAP MEASURES</w:t>
      </w:r>
    </w:p>
    <w:p>
      <w:pPr>
        <w:pStyle w:val="TextBody"/>
        <w:bidi w:val="0"/>
        <w:jc w:val="center"/>
        <w:rPr>
          <w:rFonts w:ascii="Times New Roman" w:hAnsi="Times New Roman"/>
          <w:b/>
          <w:color w:val="000000"/>
          <w:sz w:val="20"/>
        </w:rPr>
      </w:pPr>
      <w:r>
        <w:rPr>
          <w:rFonts w:ascii="Times New Roman" w:hAnsi="Times New Roman"/>
          <w:b/>
          <w:color w:val="000000"/>
          <w:sz w:val="20"/>
        </w:rPr>
        <w:t>CONSTANT CURRENCY</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1735"/>
        <w:gridCol w:w="146"/>
        <w:gridCol w:w="211"/>
        <w:gridCol w:w="781"/>
        <w:gridCol w:w="146"/>
        <w:gridCol w:w="146"/>
        <w:gridCol w:w="263"/>
        <w:gridCol w:w="602"/>
        <w:gridCol w:w="166"/>
        <w:gridCol w:w="146"/>
        <w:gridCol w:w="260"/>
        <w:gridCol w:w="965"/>
        <w:gridCol w:w="146"/>
        <w:gridCol w:w="146"/>
        <w:gridCol w:w="211"/>
        <w:gridCol w:w="781"/>
        <w:gridCol w:w="146"/>
        <w:gridCol w:w="146"/>
        <w:gridCol w:w="205"/>
        <w:gridCol w:w="740"/>
        <w:gridCol w:w="271"/>
        <w:gridCol w:w="146"/>
        <w:gridCol w:w="255"/>
        <w:gridCol w:w="924"/>
        <w:gridCol w:w="521"/>
      </w:tblGrid>
      <w:tr>
        <w:trPr/>
        <w:tc>
          <w:tcPr>
            <w:tcW w:w="1735"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63" w:type="dxa"/>
            <w:tcBorders/>
            <w:vAlign w:val="center"/>
          </w:tcPr>
          <w:p>
            <w:pPr>
              <w:pStyle w:val="TableContents"/>
              <w:bidi w:val="0"/>
              <w:spacing w:before="0" w:after="283"/>
              <w:jc w:val="left"/>
              <w:rPr>
                <w:sz w:val="4"/>
                <w:szCs w:val="4"/>
              </w:rPr>
            </w:pPr>
            <w:r>
              <w:rPr>
                <w:sz w:val="4"/>
                <w:szCs w:val="4"/>
              </w:rPr>
            </w:r>
          </w:p>
        </w:tc>
        <w:tc>
          <w:tcPr>
            <w:tcW w:w="602"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60" w:type="dxa"/>
            <w:tcBorders/>
            <w:vAlign w:val="center"/>
          </w:tcPr>
          <w:p>
            <w:pPr>
              <w:pStyle w:val="TableContents"/>
              <w:bidi w:val="0"/>
              <w:spacing w:before="0" w:after="283"/>
              <w:jc w:val="left"/>
              <w:rPr>
                <w:sz w:val="4"/>
                <w:szCs w:val="4"/>
              </w:rPr>
            </w:pPr>
            <w:r>
              <w:rPr>
                <w:sz w:val="4"/>
                <w:szCs w:val="4"/>
              </w:rPr>
            </w:r>
          </w:p>
        </w:tc>
        <w:tc>
          <w:tcPr>
            <w:tcW w:w="965"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05" w:type="dxa"/>
            <w:tcBorders/>
            <w:vAlign w:val="center"/>
          </w:tcPr>
          <w:p>
            <w:pPr>
              <w:pStyle w:val="TableContents"/>
              <w:bidi w:val="0"/>
              <w:spacing w:before="0" w:after="283"/>
              <w:jc w:val="left"/>
              <w:rPr>
                <w:sz w:val="4"/>
                <w:szCs w:val="4"/>
              </w:rPr>
            </w:pPr>
            <w:r>
              <w:rPr>
                <w:sz w:val="4"/>
                <w:szCs w:val="4"/>
              </w:rPr>
            </w:r>
          </w:p>
        </w:tc>
        <w:tc>
          <w:tcPr>
            <w:tcW w:w="740" w:type="dxa"/>
            <w:tcBorders/>
            <w:vAlign w:val="center"/>
          </w:tcPr>
          <w:p>
            <w:pPr>
              <w:pStyle w:val="TableContents"/>
              <w:bidi w:val="0"/>
              <w:spacing w:before="0" w:after="283"/>
              <w:jc w:val="left"/>
              <w:rPr>
                <w:sz w:val="4"/>
                <w:szCs w:val="4"/>
              </w:rPr>
            </w:pPr>
            <w:r>
              <w:rPr>
                <w:sz w:val="4"/>
                <w:szCs w:val="4"/>
              </w:rPr>
            </w:r>
          </w:p>
        </w:tc>
        <w:tc>
          <w:tcPr>
            <w:tcW w:w="27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5" w:type="dxa"/>
            <w:tcBorders/>
            <w:vAlign w:val="center"/>
          </w:tcPr>
          <w:p>
            <w:pPr>
              <w:pStyle w:val="TableContents"/>
              <w:bidi w:val="0"/>
              <w:spacing w:before="0" w:after="283"/>
              <w:jc w:val="left"/>
              <w:rPr>
                <w:sz w:val="4"/>
                <w:szCs w:val="4"/>
              </w:rPr>
            </w:pPr>
            <w:r>
              <w:rPr>
                <w:sz w:val="4"/>
                <w:szCs w:val="4"/>
              </w:rPr>
            </w:r>
          </w:p>
        </w:tc>
        <w:tc>
          <w:tcPr>
            <w:tcW w:w="924" w:type="dxa"/>
            <w:tcBorders/>
            <w:vAlign w:val="center"/>
          </w:tcPr>
          <w:p>
            <w:pPr>
              <w:pStyle w:val="TableContents"/>
              <w:bidi w:val="0"/>
              <w:spacing w:before="0" w:after="283"/>
              <w:jc w:val="left"/>
              <w:rPr>
                <w:sz w:val="4"/>
                <w:szCs w:val="4"/>
              </w:rPr>
            </w:pPr>
            <w:r>
              <w:rPr>
                <w:sz w:val="4"/>
                <w:szCs w:val="4"/>
              </w:rPr>
            </w:r>
          </w:p>
        </w:tc>
        <w:tc>
          <w:tcPr>
            <w:tcW w:w="521" w:type="dxa"/>
            <w:tcBorders/>
            <w:vAlign w:val="center"/>
          </w:tcPr>
          <w:p>
            <w:pPr>
              <w:pStyle w:val="TableContents"/>
              <w:bidi w:val="0"/>
              <w:spacing w:before="0" w:after="283"/>
              <w:jc w:val="left"/>
              <w:rPr>
                <w:sz w:val="4"/>
                <w:szCs w:val="4"/>
              </w:rPr>
            </w:pPr>
            <w:r>
              <w:rPr>
                <w:sz w:val="4"/>
                <w:szCs w:val="4"/>
              </w:rPr>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521" w:type="dxa"/>
            <w:tcBorders/>
            <w:shd w:fill="FFFFFF" w:val="cle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521" w:type="dxa"/>
            <w:tcBorders/>
            <w:shd w:fill="FFFFFF" w:val="cle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86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Foreign</w:t>
              <w:br/>
              <w:t>Currency</w:t>
              <w:br/>
              <w:t>Exchange Rate</w:t>
              <w:br/>
              <w:t>Impact (1)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2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Non-GAAP Constant Currency (2)</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4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 % Change</w:t>
            </w:r>
          </w:p>
        </w:tc>
        <w:tc>
          <w:tcPr>
            <w:tcW w:w="27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9"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Non-GAAP Constant Currency %</w:t>
              <w:br/>
              <w:t>Change (3)</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86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2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4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27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9"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Revenues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865"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2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45" w:type="dxa"/>
            <w:gridSpan w:val="2"/>
            <w:tcBorders/>
            <w:shd w:fill="CFF0FC" w:val="clear"/>
            <w:vAlign w:val="center"/>
          </w:tcPr>
          <w:p>
            <w:pPr>
              <w:pStyle w:val="TableContents"/>
              <w:bidi w:val="0"/>
              <w:spacing w:before="0" w:after="283"/>
              <w:jc w:val="left"/>
              <w:rPr/>
            </w:pPr>
            <w:r>
              <w:rPr/>
              <w:t> </w:t>
            </w:r>
          </w:p>
        </w:tc>
        <w:tc>
          <w:tcPr>
            <w:tcW w:w="271"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79" w:type="dxa"/>
            <w:gridSpan w:val="2"/>
            <w:tcBorders/>
            <w:shd w:fill="CFF0FC" w:val="clear"/>
            <w:vAlign w:val="center"/>
          </w:tcPr>
          <w:p>
            <w:pPr>
              <w:pStyle w:val="TableContents"/>
              <w:bidi w:val="0"/>
              <w:spacing w:before="0" w:after="283"/>
              <w:jc w:val="left"/>
              <w:rPr/>
            </w:pPr>
            <w:r>
              <w:rPr/>
              <w:t> </w:t>
            </w:r>
          </w:p>
        </w:tc>
        <w:tc>
          <w:tcPr>
            <w:tcW w:w="521" w:type="dxa"/>
            <w:tcBorders/>
            <w:shd w:fill="CFF0FC" w:val="clear"/>
            <w:vAlign w:val="center"/>
          </w:tcPr>
          <w:p>
            <w:pPr>
              <w:pStyle w:val="TableContents"/>
              <w:bidi w:val="0"/>
              <w:spacing w:before="0" w:after="283"/>
              <w:jc w:val="left"/>
              <w:rPr/>
            </w:pPr>
            <w:r>
              <w:rPr/>
              <w:t> </w:t>
            </w:r>
          </w:p>
        </w:tc>
      </w:tr>
      <w:tr>
        <w:trPr/>
        <w:tc>
          <w:tcPr>
            <w:tcW w:w="1735"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9,286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3"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60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9,306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15,522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-40.2</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-40.0</w:t>
            </w:r>
          </w:p>
        </w:tc>
        <w:tc>
          <w:tcPr>
            <w:tcW w:w="52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24,080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3" w:type="dxa"/>
            <w:tcBorders/>
            <w:shd w:fill="CFF0FC" w:val="clear"/>
            <w:vAlign w:val="center"/>
          </w:tcPr>
          <w:p>
            <w:pPr>
              <w:pStyle w:val="TableContents"/>
              <w:bidi w:val="0"/>
              <w:spacing w:before="0" w:after="283"/>
              <w:jc w:val="left"/>
              <w:rPr/>
            </w:pPr>
            <w:r>
              <w:rPr/>
              <w:t> </w:t>
            </w:r>
          </w:p>
        </w:tc>
        <w:tc>
          <w:tcPr>
            <w:tcW w:w="60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(125</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24,205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19,878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21.1</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21.8</w:t>
            </w:r>
          </w:p>
        </w:tc>
        <w:tc>
          <w:tcPr>
            <w:tcW w:w="52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33,366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3" w:type="dxa"/>
            <w:tcBorders/>
            <w:shd w:fill="FFFFFF" w:val="clear"/>
            <w:vAlign w:val="center"/>
          </w:tcPr>
          <w:p>
            <w:pPr>
              <w:pStyle w:val="TableContents"/>
              <w:bidi w:val="0"/>
              <w:spacing w:before="0" w:after="283"/>
              <w:jc w:val="left"/>
              <w:rPr/>
            </w:pPr>
            <w:r>
              <w:rPr/>
              <w:t> </w:t>
            </w:r>
          </w:p>
        </w:tc>
        <w:tc>
          <w:tcPr>
            <w:tcW w:w="60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(145</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pPr>
            <w:r>
              <w:rPr/>
              <w:t> </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33,511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35,400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w:t>
            </w:r>
          </w:p>
        </w:tc>
        <w:tc>
          <w:tcPr>
            <w:tcW w:w="52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61,740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3" w:type="dxa"/>
            <w:tcBorders/>
            <w:shd w:fill="CFF0FC" w:val="clear"/>
            <w:vAlign w:val="center"/>
          </w:tcPr>
          <w:p>
            <w:pPr>
              <w:pStyle w:val="TableContents"/>
              <w:bidi w:val="0"/>
              <w:spacing w:before="0" w:after="283"/>
              <w:jc w:val="left"/>
              <w:rPr/>
            </w:pPr>
            <w:r>
              <w:rPr/>
              <w:t> </w:t>
            </w:r>
          </w:p>
        </w:tc>
        <w:tc>
          <w:tcPr>
            <w:tcW w:w="60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(364</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62,104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66,081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-6.6</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w:t>
            </w:r>
          </w:p>
        </w:tc>
        <w:tc>
          <w:tcPr>
            <w:tcW w:w="52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16,336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3" w:type="dxa"/>
            <w:tcBorders/>
            <w:shd w:fill="FFFFFF" w:val="clear"/>
            <w:vAlign w:val="center"/>
          </w:tcPr>
          <w:p>
            <w:pPr>
              <w:pStyle w:val="TableContents"/>
              <w:bidi w:val="0"/>
              <w:spacing w:before="0" w:after="283"/>
              <w:jc w:val="left"/>
              <w:rPr/>
            </w:pPr>
            <w:r>
              <w:rPr/>
              <w:t> </w:t>
            </w:r>
          </w:p>
        </w:tc>
        <w:tc>
          <w:tcPr>
            <w:tcW w:w="60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(146</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pPr>
            <w:r>
              <w:rPr/>
              <w:t> </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16,482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-13.7</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-12.9</w:t>
            </w:r>
          </w:p>
        </w:tc>
        <w:tc>
          <w:tcPr>
            <w:tcW w:w="52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ind w:left="200" w:right="0" w:firstLine="200"/>
              <w:jc w:val="left"/>
              <w:rPr>
                <w:rFonts w:ascii="Times New Roman" w:hAnsi="Times New Roman"/>
                <w:b/>
                <w:color w:val="000000"/>
                <w:sz w:val="20"/>
              </w:rPr>
            </w:pPr>
            <w:r>
              <w:rPr>
                <w:rFonts w:ascii="Times New Roman" w:hAnsi="Times New Roman"/>
                <w:b/>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111,442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3" w:type="dxa"/>
            <w:tcBorders/>
            <w:shd w:fill="CFF0FC" w:val="clear"/>
            <w:vAlign w:val="center"/>
          </w:tcPr>
          <w:p>
            <w:pPr>
              <w:pStyle w:val="TableContents"/>
              <w:bidi w:val="0"/>
              <w:spacing w:before="0" w:after="283"/>
              <w:jc w:val="left"/>
              <w:rPr/>
            </w:pPr>
            <w:r>
              <w:rPr/>
              <w:t> </w:t>
            </w:r>
          </w:p>
        </w:tc>
        <w:tc>
          <w:tcPr>
            <w:tcW w:w="60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(655</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112,097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120,400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-7.4</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-6.9</w:t>
            </w:r>
          </w:p>
        </w:tc>
        <w:tc>
          <w:tcPr>
            <w:tcW w:w="52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both"/>
        <w:rPr/>
      </w:pPr>
      <w:r>
        <w:rPr/>
        <w:t> </w:t>
      </w:r>
    </w:p>
    <w:tbl>
      <w:tblPr>
        <w:tblW w:w="10205" w:type="dxa"/>
        <w:jc w:val="left"/>
        <w:tblInd w:w="0" w:type="dxa"/>
        <w:tblLayout w:type="fixed"/>
        <w:tblCellMar>
          <w:top w:w="28" w:type="dxa"/>
          <w:left w:w="28" w:type="dxa"/>
          <w:bottom w:w="28" w:type="dxa"/>
          <w:right w:w="28" w:type="dxa"/>
        </w:tblCellMar>
      </w:tblPr>
      <w:tblGrid>
        <w:gridCol w:w="1735"/>
        <w:gridCol w:w="146"/>
        <w:gridCol w:w="211"/>
        <w:gridCol w:w="781"/>
        <w:gridCol w:w="146"/>
        <w:gridCol w:w="146"/>
        <w:gridCol w:w="263"/>
        <w:gridCol w:w="602"/>
        <w:gridCol w:w="166"/>
        <w:gridCol w:w="146"/>
        <w:gridCol w:w="260"/>
        <w:gridCol w:w="965"/>
        <w:gridCol w:w="146"/>
        <w:gridCol w:w="146"/>
        <w:gridCol w:w="211"/>
        <w:gridCol w:w="781"/>
        <w:gridCol w:w="146"/>
        <w:gridCol w:w="146"/>
        <w:gridCol w:w="205"/>
        <w:gridCol w:w="740"/>
        <w:gridCol w:w="271"/>
        <w:gridCol w:w="146"/>
        <w:gridCol w:w="255"/>
        <w:gridCol w:w="924"/>
        <w:gridCol w:w="521"/>
      </w:tblGrid>
      <w:tr>
        <w:trPr/>
        <w:tc>
          <w:tcPr>
            <w:tcW w:w="1735"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63" w:type="dxa"/>
            <w:tcBorders/>
            <w:vAlign w:val="center"/>
          </w:tcPr>
          <w:p>
            <w:pPr>
              <w:pStyle w:val="TableContents"/>
              <w:bidi w:val="0"/>
              <w:spacing w:before="0" w:after="283"/>
              <w:jc w:val="left"/>
              <w:rPr>
                <w:sz w:val="4"/>
                <w:szCs w:val="4"/>
              </w:rPr>
            </w:pPr>
            <w:r>
              <w:rPr>
                <w:sz w:val="4"/>
                <w:szCs w:val="4"/>
              </w:rPr>
            </w:r>
          </w:p>
        </w:tc>
        <w:tc>
          <w:tcPr>
            <w:tcW w:w="602"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60" w:type="dxa"/>
            <w:tcBorders/>
            <w:vAlign w:val="center"/>
          </w:tcPr>
          <w:p>
            <w:pPr>
              <w:pStyle w:val="TableContents"/>
              <w:bidi w:val="0"/>
              <w:spacing w:before="0" w:after="283"/>
              <w:jc w:val="left"/>
              <w:rPr>
                <w:sz w:val="4"/>
                <w:szCs w:val="4"/>
              </w:rPr>
            </w:pPr>
            <w:r>
              <w:rPr>
                <w:sz w:val="4"/>
                <w:szCs w:val="4"/>
              </w:rPr>
            </w:r>
          </w:p>
        </w:tc>
        <w:tc>
          <w:tcPr>
            <w:tcW w:w="965"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05" w:type="dxa"/>
            <w:tcBorders/>
            <w:vAlign w:val="center"/>
          </w:tcPr>
          <w:p>
            <w:pPr>
              <w:pStyle w:val="TableContents"/>
              <w:bidi w:val="0"/>
              <w:spacing w:before="0" w:after="283"/>
              <w:jc w:val="left"/>
              <w:rPr>
                <w:sz w:val="4"/>
                <w:szCs w:val="4"/>
              </w:rPr>
            </w:pPr>
            <w:r>
              <w:rPr>
                <w:sz w:val="4"/>
                <w:szCs w:val="4"/>
              </w:rPr>
            </w:r>
          </w:p>
        </w:tc>
        <w:tc>
          <w:tcPr>
            <w:tcW w:w="740" w:type="dxa"/>
            <w:tcBorders/>
            <w:vAlign w:val="center"/>
          </w:tcPr>
          <w:p>
            <w:pPr>
              <w:pStyle w:val="TableContents"/>
              <w:bidi w:val="0"/>
              <w:spacing w:before="0" w:after="283"/>
              <w:jc w:val="left"/>
              <w:rPr>
                <w:sz w:val="4"/>
                <w:szCs w:val="4"/>
              </w:rPr>
            </w:pPr>
            <w:r>
              <w:rPr>
                <w:sz w:val="4"/>
                <w:szCs w:val="4"/>
              </w:rPr>
            </w:r>
          </w:p>
        </w:tc>
        <w:tc>
          <w:tcPr>
            <w:tcW w:w="27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5" w:type="dxa"/>
            <w:tcBorders/>
            <w:vAlign w:val="center"/>
          </w:tcPr>
          <w:p>
            <w:pPr>
              <w:pStyle w:val="TableContents"/>
              <w:bidi w:val="0"/>
              <w:spacing w:before="0" w:after="283"/>
              <w:jc w:val="left"/>
              <w:rPr>
                <w:sz w:val="4"/>
                <w:szCs w:val="4"/>
              </w:rPr>
            </w:pPr>
            <w:r>
              <w:rPr>
                <w:sz w:val="4"/>
                <w:szCs w:val="4"/>
              </w:rPr>
            </w:r>
          </w:p>
        </w:tc>
        <w:tc>
          <w:tcPr>
            <w:tcW w:w="924" w:type="dxa"/>
            <w:tcBorders/>
            <w:vAlign w:val="center"/>
          </w:tcPr>
          <w:p>
            <w:pPr>
              <w:pStyle w:val="TableContents"/>
              <w:bidi w:val="0"/>
              <w:spacing w:before="0" w:after="283"/>
              <w:jc w:val="left"/>
              <w:rPr>
                <w:sz w:val="4"/>
                <w:szCs w:val="4"/>
              </w:rPr>
            </w:pPr>
            <w:r>
              <w:rPr>
                <w:sz w:val="4"/>
                <w:szCs w:val="4"/>
              </w:rPr>
            </w:r>
          </w:p>
        </w:tc>
        <w:tc>
          <w:tcPr>
            <w:tcW w:w="521" w:type="dxa"/>
            <w:tcBorders/>
            <w:vAlign w:val="center"/>
          </w:tcPr>
          <w:p>
            <w:pPr>
              <w:pStyle w:val="TableContents"/>
              <w:bidi w:val="0"/>
              <w:spacing w:before="0" w:after="283"/>
              <w:jc w:val="left"/>
              <w:rPr>
                <w:sz w:val="4"/>
                <w:szCs w:val="4"/>
              </w:rPr>
            </w:pPr>
            <w:r>
              <w:rPr>
                <w:sz w:val="4"/>
                <w:szCs w:val="4"/>
              </w:rPr>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w:t>
            </w:r>
          </w:p>
        </w:tc>
        <w:tc>
          <w:tcPr>
            <w:tcW w:w="521" w:type="dxa"/>
            <w:tcBorders/>
            <w:shd w:fill="FFFFFF" w:val="cle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521" w:type="dxa"/>
            <w:tcBorders/>
            <w:shd w:fill="FFFFFF" w:val="cle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86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Foreign</w:t>
              <w:br/>
              <w:t>Currency</w:t>
              <w:br/>
              <w:t>Exchange Rate</w:t>
              <w:br/>
              <w:t>Impact (1)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2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Non-GAAP Constant Currency (2)</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4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 % Change</w:t>
            </w:r>
          </w:p>
        </w:tc>
        <w:tc>
          <w:tcPr>
            <w:tcW w:w="27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9"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Non-GAAP Constant Currency %</w:t>
              <w:br/>
              <w:t>Change (3)</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86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2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4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27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9"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Revenues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865"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2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45" w:type="dxa"/>
            <w:gridSpan w:val="2"/>
            <w:tcBorders/>
            <w:shd w:fill="CFF0FC" w:val="clear"/>
            <w:vAlign w:val="center"/>
          </w:tcPr>
          <w:p>
            <w:pPr>
              <w:pStyle w:val="TableContents"/>
              <w:bidi w:val="0"/>
              <w:spacing w:before="0" w:after="283"/>
              <w:jc w:val="left"/>
              <w:rPr/>
            </w:pPr>
            <w:r>
              <w:rPr/>
              <w:t> </w:t>
            </w:r>
          </w:p>
        </w:tc>
        <w:tc>
          <w:tcPr>
            <w:tcW w:w="271"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79" w:type="dxa"/>
            <w:gridSpan w:val="2"/>
            <w:tcBorders/>
            <w:shd w:fill="CFF0FC" w:val="clear"/>
            <w:vAlign w:val="center"/>
          </w:tcPr>
          <w:p>
            <w:pPr>
              <w:pStyle w:val="TableContents"/>
              <w:bidi w:val="0"/>
              <w:spacing w:before="0" w:after="283"/>
              <w:jc w:val="left"/>
              <w:rPr/>
            </w:pPr>
            <w:r>
              <w:rPr/>
              <w:t> </w:t>
            </w:r>
          </w:p>
        </w:tc>
        <w:tc>
          <w:tcPr>
            <w:tcW w:w="521" w:type="dxa"/>
            <w:tcBorders/>
            <w:shd w:fill="CFF0FC" w:val="clear"/>
            <w:vAlign w:val="center"/>
          </w:tcPr>
          <w:p>
            <w:pPr>
              <w:pStyle w:val="TableContents"/>
              <w:bidi w:val="0"/>
              <w:spacing w:before="0" w:after="283"/>
              <w:jc w:val="left"/>
              <w:rPr/>
            </w:pPr>
            <w:r>
              <w:rPr/>
              <w:t> </w:t>
            </w:r>
          </w:p>
        </w:tc>
      </w:tr>
      <w:tr>
        <w:trPr/>
        <w:tc>
          <w:tcPr>
            <w:tcW w:w="1735"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22,224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3"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60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(102</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22,326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32,934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-32.5</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-32.2</w:t>
            </w:r>
          </w:p>
        </w:tc>
        <w:tc>
          <w:tcPr>
            <w:tcW w:w="52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47,046</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3" w:type="dxa"/>
            <w:tcBorders/>
            <w:shd w:fill="CFF0FC" w:val="clear"/>
            <w:vAlign w:val="center"/>
          </w:tcPr>
          <w:p>
            <w:pPr>
              <w:pStyle w:val="TableContents"/>
              <w:bidi w:val="0"/>
              <w:spacing w:before="0" w:after="283"/>
              <w:jc w:val="left"/>
              <w:rPr/>
            </w:pPr>
            <w:r>
              <w:rPr/>
              <w:t> </w:t>
            </w:r>
          </w:p>
        </w:tc>
        <w:tc>
          <w:tcPr>
            <w:tcW w:w="60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47,085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38,688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21.6</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21.7</w:t>
            </w:r>
          </w:p>
        </w:tc>
        <w:tc>
          <w:tcPr>
            <w:tcW w:w="52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69,270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3" w:type="dxa"/>
            <w:tcBorders/>
            <w:shd w:fill="FFFFFF" w:val="clear"/>
            <w:vAlign w:val="center"/>
          </w:tcPr>
          <w:p>
            <w:pPr>
              <w:pStyle w:val="TableContents"/>
              <w:bidi w:val="0"/>
              <w:spacing w:before="0" w:after="283"/>
              <w:jc w:val="left"/>
              <w:rPr/>
            </w:pPr>
            <w:r>
              <w:rPr/>
              <w:t> </w:t>
            </w:r>
          </w:p>
        </w:tc>
        <w:tc>
          <w:tcPr>
            <w:tcW w:w="60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(141</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pPr>
            <w:r>
              <w:rPr/>
              <w:t> </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69,411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71,622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w:t>
            </w:r>
          </w:p>
        </w:tc>
        <w:tc>
          <w:tcPr>
            <w:tcW w:w="52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124,425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3" w:type="dxa"/>
            <w:tcBorders/>
            <w:shd w:fill="CFF0FC" w:val="clear"/>
            <w:vAlign w:val="center"/>
          </w:tcPr>
          <w:p>
            <w:pPr>
              <w:pStyle w:val="TableContents"/>
              <w:bidi w:val="0"/>
              <w:spacing w:before="0" w:after="283"/>
              <w:jc w:val="left"/>
              <w:rPr/>
            </w:pPr>
            <w:r>
              <w:rPr/>
              <w:t> </w:t>
            </w:r>
          </w:p>
        </w:tc>
        <w:tc>
          <w:tcPr>
            <w:tcW w:w="60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124,545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131,562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-5.4</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w:t>
            </w:r>
          </w:p>
        </w:tc>
        <w:tc>
          <w:tcPr>
            <w:tcW w:w="52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32,993</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3" w:type="dxa"/>
            <w:tcBorders/>
            <w:shd w:fill="FFFFFF" w:val="clear"/>
            <w:vAlign w:val="center"/>
          </w:tcPr>
          <w:p>
            <w:pPr>
              <w:pStyle w:val="TableContents"/>
              <w:bidi w:val="0"/>
              <w:spacing w:before="0" w:after="283"/>
              <w:jc w:val="left"/>
              <w:rPr/>
            </w:pPr>
            <w:r>
              <w:rPr/>
              <w:t> </w:t>
            </w:r>
          </w:p>
        </w:tc>
        <w:tc>
          <w:tcPr>
            <w:tcW w:w="60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(88</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pPr>
            <w:r>
              <w:rPr/>
              <w:t> </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33,081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39,131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-15.7</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-15.5</w:t>
            </w:r>
          </w:p>
        </w:tc>
        <w:tc>
          <w:tcPr>
            <w:tcW w:w="52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ind w:left="200" w:right="0" w:firstLine="200"/>
              <w:jc w:val="left"/>
              <w:rPr>
                <w:rFonts w:ascii="Times New Roman" w:hAnsi="Times New Roman"/>
                <w:b/>
                <w:color w:val="000000"/>
                <w:sz w:val="20"/>
              </w:rPr>
            </w:pPr>
            <w:r>
              <w:rPr>
                <w:rFonts w:ascii="Times New Roman" w:hAnsi="Times New Roman"/>
                <w:b/>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226,688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3" w:type="dxa"/>
            <w:tcBorders/>
            <w:shd w:fill="CFF0FC" w:val="clear"/>
            <w:vAlign w:val="center"/>
          </w:tcPr>
          <w:p>
            <w:pPr>
              <w:pStyle w:val="TableContents"/>
              <w:bidi w:val="0"/>
              <w:spacing w:before="0" w:after="283"/>
              <w:jc w:val="left"/>
              <w:rPr/>
            </w:pPr>
            <w:r>
              <w:rPr/>
              <w:t> </w:t>
            </w:r>
          </w:p>
        </w:tc>
        <w:tc>
          <w:tcPr>
            <w:tcW w:w="60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(349</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227,037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242,315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-6.4</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-6.3</w:t>
            </w:r>
          </w:p>
        </w:tc>
        <w:tc>
          <w:tcPr>
            <w:tcW w:w="52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(1)</w:t>
      </w:r>
    </w:p>
    <w:p>
      <w:pPr>
        <w:pStyle w:val="TextBody"/>
        <w:bidi w:val="0"/>
        <w:jc w:val="both"/>
        <w:rPr>
          <w:rFonts w:ascii="Times New Roman" w:hAnsi="Times New Roman"/>
          <w:color w:val="000000"/>
          <w:sz w:val="20"/>
        </w:rPr>
      </w:pPr>
      <w:r>
        <w:rPr>
          <w:rFonts w:ascii="Times New Roman" w:hAnsi="Times New Roman"/>
          <w:color w:val="000000"/>
          <w:sz w:val="20"/>
        </w:rPr>
        <w:t>The “Foreign Currency Exchange Rate Impact” reflects the estimated impact of fluctuations in foreign currency exchange rates on international revenues. It shows the increase (decrease) in international revenues from the same period in the prior year, based on comparisons to the prior year quarterly average foreign currency exchange rates. “International revenues” refers to revenues from operations outside of the United States and Canada only where the functional currency is the local currency (i.e., excluding any location whose economy is considered highly inflationary).</w:t>
      </w:r>
    </w:p>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(2)</w:t>
      </w:r>
    </w:p>
    <w:p>
      <w:pPr>
        <w:pStyle w:val="TextBody"/>
        <w:bidi w:val="0"/>
        <w:jc w:val="both"/>
        <w:rPr>
          <w:rFonts w:ascii="Times New Roman" w:hAnsi="Times New Roman"/>
          <w:color w:val="000000"/>
          <w:sz w:val="20"/>
        </w:rPr>
      </w:pPr>
      <w:r>
        <w:rPr>
          <w:rFonts w:ascii="Times New Roman" w:hAnsi="Times New Roman"/>
          <w:color w:val="000000"/>
          <w:sz w:val="20"/>
        </w:rPr>
        <w:t>The “Non-GAAP Constant Currency” reflects the current period GAAP amount, less the Foreign Currency Exchange Rate Impact.</w:t>
      </w:r>
    </w:p>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(3)</w:t>
      </w:r>
    </w:p>
    <w:p>
      <w:pPr>
        <w:pStyle w:val="TextBody"/>
        <w:bidi w:val="0"/>
        <w:jc w:val="both"/>
        <w:rPr>
          <w:rFonts w:ascii="Times New Roman" w:hAnsi="Times New Roman"/>
          <w:color w:val="000000"/>
          <w:sz w:val="20"/>
        </w:rPr>
      </w:pPr>
      <w:r>
        <w:rPr>
          <w:rFonts w:ascii="Times New Roman" w:hAnsi="Times New Roman"/>
          <w:color w:val="000000"/>
          <w:sz w:val="20"/>
        </w:rPr>
        <w:t>The “Non-GAAP Constant Currency % Change” reflects the percentage change between the current period Non-GAAP Constant Currency amount and the GAAP amount for the same period in the prior year.</w:t>
      </w:r>
    </w:p>
    <w:p>
      <w:pPr>
        <w:pStyle w:val="TextBody"/>
        <w:bidi w:val="0"/>
        <w:jc w:val="left"/>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DEFERRED REVENUE DETAIL</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left"/>
        <w:rPr/>
      </w:pPr>
      <w:r>
        <w:rPr/>
        <w:t> </w:t>
      </w:r>
    </w:p>
    <w:tbl>
      <w:tblPr>
        <w:tblW w:w="10191" w:type="dxa"/>
        <w:jc w:val="left"/>
        <w:tblInd w:w="0" w:type="dxa"/>
        <w:tblLayout w:type="fixed"/>
        <w:tblCellMar>
          <w:top w:w="28" w:type="dxa"/>
          <w:left w:w="28" w:type="dxa"/>
          <w:bottom w:w="28" w:type="dxa"/>
          <w:right w:w="28" w:type="dxa"/>
        </w:tblCellMar>
      </w:tblPr>
      <w:tblGrid>
        <w:gridCol w:w="5991"/>
        <w:gridCol w:w="146"/>
        <w:gridCol w:w="211"/>
        <w:gridCol w:w="781"/>
        <w:gridCol w:w="146"/>
        <w:gridCol w:w="146"/>
        <w:gridCol w:w="233"/>
        <w:gridCol w:w="862"/>
        <w:gridCol w:w="146"/>
        <w:gridCol w:w="146"/>
        <w:gridCol w:w="211"/>
        <w:gridCol w:w="781"/>
        <w:gridCol w:w="391"/>
      </w:tblGrid>
      <w:tr>
        <w:trPr/>
        <w:tc>
          <w:tcPr>
            <w:tcW w:w="599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3" w:type="dxa"/>
            <w:tcBorders/>
            <w:vAlign w:val="center"/>
          </w:tcPr>
          <w:p>
            <w:pPr>
              <w:pStyle w:val="TableContents"/>
              <w:bidi w:val="0"/>
              <w:spacing w:before="0" w:after="283"/>
              <w:jc w:val="left"/>
              <w:rPr>
                <w:sz w:val="4"/>
                <w:szCs w:val="4"/>
              </w:rPr>
            </w:pPr>
            <w:r>
              <w:rPr>
                <w:sz w:val="4"/>
                <w:szCs w:val="4"/>
              </w:rPr>
            </w:r>
          </w:p>
        </w:tc>
        <w:tc>
          <w:tcPr>
            <w:tcW w:w="86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391" w:type="dxa"/>
            <w:tcBorders/>
            <w:vAlign w:val="center"/>
          </w:tcPr>
          <w:p>
            <w:pPr>
              <w:pStyle w:val="TableContents"/>
              <w:bidi w:val="0"/>
              <w:spacing w:before="0" w:after="283"/>
              <w:jc w:val="left"/>
              <w:rPr>
                <w:sz w:val="4"/>
                <w:szCs w:val="4"/>
              </w:rPr>
            </w:pPr>
            <w:r>
              <w:rPr>
                <w:sz w:val="4"/>
                <w:szCs w:val="4"/>
              </w:rPr>
            </w:r>
          </w:p>
        </w:tc>
      </w:tr>
      <w:tr>
        <w:trPr/>
        <w:tc>
          <w:tcPr>
            <w:tcW w:w="599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December 31,</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June 30,</w:t>
            </w:r>
          </w:p>
        </w:tc>
        <w:tc>
          <w:tcPr>
            <w:tcW w:w="391" w:type="dxa"/>
            <w:tcBorders/>
            <w:shd w:fill="FFFFFF" w:val="clear"/>
            <w:vAlign w:val="center"/>
          </w:tcPr>
          <w:p>
            <w:pPr>
              <w:pStyle w:val="TableContents"/>
              <w:bidi w:val="0"/>
              <w:spacing w:before="0" w:after="283"/>
              <w:jc w:val="center"/>
              <w:rPr/>
            </w:pPr>
            <w:r>
              <w:rPr/>
              <w:t> </w:t>
            </w:r>
          </w:p>
        </w:tc>
      </w:tr>
      <w:tr>
        <w:trPr/>
        <w:tc>
          <w:tcPr>
            <w:tcW w:w="599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3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599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left"/>
              <w:rPr>
                <w:rFonts w:cs="Calibri;sans-serif"/>
                <w:color w:val="000000"/>
                <w:szCs w:val="16"/>
              </w:rPr>
            </w:pPr>
            <w:r>
              <w:rPr>
                <w:rFonts w:cs="Calibri;sans-serif"/>
                <w:color w:val="000000"/>
                <w:szCs w:val="16"/>
              </w:rPr>
              <w:t>﻿</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391" w:type="dxa"/>
            <w:tcBorders/>
            <w:shd w:fill="FFFFFF" w:val="clear"/>
            <w:vAlign w:val="center"/>
          </w:tcPr>
          <w:p>
            <w:pPr>
              <w:pStyle w:val="TableContents"/>
              <w:bidi w:val="0"/>
              <w:spacing w:before="0" w:after="283"/>
              <w:jc w:val="center"/>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Current:</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95" w:type="dxa"/>
            <w:gridSpan w:val="2"/>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licenses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974</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subscription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69,566</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pPr>
            <w:r>
              <w:rPr/>
              <w:t> </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65,512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49,898</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support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127,170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pPr>
            <w:r>
              <w:rPr/>
              <w:t> </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152,012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141,605</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other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3,901</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6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7,059</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3,340</w:t>
            </w:r>
          </w:p>
        </w:tc>
        <w:tc>
          <w:tcPr>
            <w:tcW w:w="3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5991"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current 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204,837</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228,162</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195,817</w:t>
            </w:r>
          </w:p>
        </w:tc>
        <w:tc>
          <w:tcPr>
            <w:tcW w:w="3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9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Non-current:</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licenses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2,493</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subscription services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1,623</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pPr>
            <w:r>
              <w:rPr/>
              <w:t> </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2,888</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support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3,974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pPr>
            <w:r>
              <w:rPr/>
              <w:t> </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4,984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5,340</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other services revenue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367</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6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523</w:t>
            </w:r>
          </w:p>
        </w:tc>
        <w:tc>
          <w:tcPr>
            <w:tcW w:w="3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5991"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non-current deferred revenue and advance payments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5,964</w:t>
            </w:r>
          </w:p>
        </w:tc>
        <w:tc>
          <w:tcPr>
            <w:tcW w:w="14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8,524</w:t>
            </w:r>
          </w:p>
        </w:tc>
        <w:tc>
          <w:tcPr>
            <w:tcW w:w="14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11,244</w:t>
            </w:r>
          </w:p>
        </w:tc>
        <w:tc>
          <w:tcPr>
            <w:tcW w:w="3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current and non-current:</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9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licenses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3,467</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subscription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71,189</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pPr>
            <w:r>
              <w:rPr/>
              <w:t> </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68,609</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52,786</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support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131,144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pPr>
            <w:r>
              <w:rPr/>
              <w:t> </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156,996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146,945</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other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4,268</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6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7,502</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3,863</w:t>
            </w:r>
          </w:p>
        </w:tc>
        <w:tc>
          <w:tcPr>
            <w:tcW w:w="3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5991"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current and non-current 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210,801</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236,686</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207,061</w:t>
            </w:r>
          </w:p>
        </w:tc>
        <w:tc>
          <w:tcPr>
            <w:tcW w:w="3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left"/>
        <w:rPr/>
      </w:pPr>
      <w:r>
        <w:rPr/>
        <w:t> </w:t>
      </w:r>
    </w:p>
    <w:p>
      <w:pPr>
        <w:pStyle w:val="TextBody"/>
        <w:bidi w:val="0"/>
        <w:jc w:val="both"/>
        <w:rPr>
          <w:rFonts w:ascii="Times New Roman" w:hAnsi="Times New Roman"/>
          <w:color w:val="000000"/>
          <w:sz w:val="20"/>
        </w:rPr>
      </w:pPr>
      <w:r>
        <w:rPr>
          <w:rFonts w:ascii="Times New Roman" w:hAnsi="Times New Roman"/>
          <w:color w:val="000000"/>
          <w:sz w:val="20"/>
        </w:rPr>
        <w:t>* Derived from audited financial statements.</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SEGMENT INFORMATION</w:t>
      </w:r>
    </w:p>
    <w:p>
      <w:pPr>
        <w:pStyle w:val="TextBody"/>
        <w:bidi w:val="0"/>
        <w:jc w:val="center"/>
        <w:rPr>
          <w:rFonts w:ascii="Times New Roman" w:hAnsi="Times New Roman"/>
          <w:b/>
          <w:color w:val="000000"/>
          <w:sz w:val="20"/>
        </w:rPr>
      </w:pPr>
      <w:r>
        <w:rPr>
          <w:rFonts w:ascii="Times New Roman" w:hAnsi="Times New Roman"/>
          <w:b/>
          <w:color w:val="000000"/>
          <w:sz w:val="20"/>
        </w:rPr>
        <w:t>(in thousands, unaudited)</w:t>
      </w:r>
    </w:p>
    <w:p>
      <w:pPr>
        <w:pStyle w:val="TextBody"/>
        <w:bidi w:val="0"/>
        <w:jc w:val="left"/>
        <w:rPr/>
      </w:pPr>
      <w:r>
        <w:rPr/>
        <w:t> </w:t>
      </w:r>
    </w:p>
    <w:tbl>
      <w:tblPr>
        <w:tblW w:w="10205" w:type="dxa"/>
        <w:jc w:val="left"/>
        <w:tblInd w:w="0" w:type="dxa"/>
        <w:tblLayout w:type="fixed"/>
        <w:tblCellMar>
          <w:top w:w="28" w:type="dxa"/>
          <w:left w:w="28" w:type="dxa"/>
          <w:bottom w:w="28" w:type="dxa"/>
          <w:right w:w="28" w:type="dxa"/>
        </w:tblCellMar>
      </w:tblPr>
      <w:tblGrid>
        <w:gridCol w:w="1346"/>
        <w:gridCol w:w="146"/>
        <w:gridCol w:w="237"/>
        <w:gridCol w:w="880"/>
        <w:gridCol w:w="166"/>
        <w:gridCol w:w="146"/>
        <w:gridCol w:w="241"/>
        <w:gridCol w:w="960"/>
        <w:gridCol w:w="166"/>
        <w:gridCol w:w="146"/>
        <w:gridCol w:w="238"/>
        <w:gridCol w:w="949"/>
        <w:gridCol w:w="166"/>
        <w:gridCol w:w="146"/>
        <w:gridCol w:w="237"/>
        <w:gridCol w:w="880"/>
        <w:gridCol w:w="166"/>
        <w:gridCol w:w="146"/>
        <w:gridCol w:w="251"/>
        <w:gridCol w:w="877"/>
        <w:gridCol w:w="166"/>
        <w:gridCol w:w="146"/>
        <w:gridCol w:w="251"/>
        <w:gridCol w:w="934"/>
        <w:gridCol w:w="218"/>
      </w:tblGrid>
      <w:tr>
        <w:trPr/>
        <w:tc>
          <w:tcPr>
            <w:tcW w:w="13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7" w:type="dxa"/>
            <w:tcBorders/>
            <w:vAlign w:val="center"/>
          </w:tcPr>
          <w:p>
            <w:pPr>
              <w:pStyle w:val="TableContents"/>
              <w:bidi w:val="0"/>
              <w:spacing w:before="0" w:after="283"/>
              <w:jc w:val="left"/>
              <w:rPr>
                <w:sz w:val="4"/>
                <w:szCs w:val="4"/>
              </w:rPr>
            </w:pPr>
            <w:r>
              <w:rPr>
                <w:sz w:val="4"/>
                <w:szCs w:val="4"/>
              </w:rPr>
            </w:r>
          </w:p>
        </w:tc>
        <w:tc>
          <w:tcPr>
            <w:tcW w:w="8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41" w:type="dxa"/>
            <w:tcBorders/>
            <w:vAlign w:val="center"/>
          </w:tcPr>
          <w:p>
            <w:pPr>
              <w:pStyle w:val="TableContents"/>
              <w:bidi w:val="0"/>
              <w:spacing w:before="0" w:after="283"/>
              <w:jc w:val="left"/>
              <w:rPr>
                <w:sz w:val="4"/>
                <w:szCs w:val="4"/>
              </w:rPr>
            </w:pPr>
            <w:r>
              <w:rPr>
                <w:sz w:val="4"/>
                <w:szCs w:val="4"/>
              </w:rPr>
            </w:r>
          </w:p>
        </w:tc>
        <w:tc>
          <w:tcPr>
            <w:tcW w:w="96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8" w:type="dxa"/>
            <w:tcBorders/>
            <w:vAlign w:val="center"/>
          </w:tcPr>
          <w:p>
            <w:pPr>
              <w:pStyle w:val="TableContents"/>
              <w:bidi w:val="0"/>
              <w:spacing w:before="0" w:after="283"/>
              <w:jc w:val="left"/>
              <w:rPr>
                <w:sz w:val="4"/>
                <w:szCs w:val="4"/>
              </w:rPr>
            </w:pPr>
            <w:r>
              <w:rPr>
                <w:sz w:val="4"/>
                <w:szCs w:val="4"/>
              </w:rPr>
            </w:r>
          </w:p>
        </w:tc>
        <w:tc>
          <w:tcPr>
            <w:tcW w:w="949"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7" w:type="dxa"/>
            <w:tcBorders/>
            <w:vAlign w:val="center"/>
          </w:tcPr>
          <w:p>
            <w:pPr>
              <w:pStyle w:val="TableContents"/>
              <w:bidi w:val="0"/>
              <w:spacing w:before="0" w:after="283"/>
              <w:jc w:val="left"/>
              <w:rPr>
                <w:sz w:val="4"/>
                <w:szCs w:val="4"/>
              </w:rPr>
            </w:pPr>
            <w:r>
              <w:rPr>
                <w:sz w:val="4"/>
                <w:szCs w:val="4"/>
              </w:rPr>
            </w:r>
          </w:p>
        </w:tc>
        <w:tc>
          <w:tcPr>
            <w:tcW w:w="8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1" w:type="dxa"/>
            <w:tcBorders/>
            <w:vAlign w:val="center"/>
          </w:tcPr>
          <w:p>
            <w:pPr>
              <w:pStyle w:val="TableContents"/>
              <w:bidi w:val="0"/>
              <w:spacing w:before="0" w:after="283"/>
              <w:jc w:val="left"/>
              <w:rPr>
                <w:sz w:val="4"/>
                <w:szCs w:val="4"/>
              </w:rPr>
            </w:pPr>
            <w:r>
              <w:rPr>
                <w:sz w:val="4"/>
                <w:szCs w:val="4"/>
              </w:rPr>
            </w:r>
          </w:p>
        </w:tc>
        <w:tc>
          <w:tcPr>
            <w:tcW w:w="877"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1" w:type="dxa"/>
            <w:tcBorders/>
            <w:vAlign w:val="center"/>
          </w:tcPr>
          <w:p>
            <w:pPr>
              <w:pStyle w:val="TableContents"/>
              <w:bidi w:val="0"/>
              <w:spacing w:before="0" w:after="283"/>
              <w:jc w:val="left"/>
              <w:rPr>
                <w:sz w:val="4"/>
                <w:szCs w:val="4"/>
              </w:rPr>
            </w:pPr>
            <w:r>
              <w:rPr>
                <w:sz w:val="4"/>
                <w:szCs w:val="4"/>
              </w:rPr>
            </w:r>
          </w:p>
        </w:tc>
        <w:tc>
          <w:tcPr>
            <w:tcW w:w="934" w:type="dxa"/>
            <w:tcBorders/>
            <w:vAlign w:val="center"/>
          </w:tcPr>
          <w:p>
            <w:pPr>
              <w:pStyle w:val="TableContents"/>
              <w:bidi w:val="0"/>
              <w:spacing w:before="0" w:after="283"/>
              <w:jc w:val="left"/>
              <w:rPr>
                <w:sz w:val="4"/>
                <w:szCs w:val="4"/>
              </w:rPr>
            </w:pPr>
            <w:r>
              <w:rPr>
                <w:sz w:val="4"/>
                <w:szCs w:val="4"/>
              </w:rPr>
            </w:r>
          </w:p>
        </w:tc>
        <w:tc>
          <w:tcPr>
            <w:tcW w:w="218" w:type="dxa"/>
            <w:tcBorders/>
            <w:vAlign w:val="center"/>
          </w:tcPr>
          <w:p>
            <w:pPr>
              <w:pStyle w:val="TableContents"/>
              <w:bidi w:val="0"/>
              <w:spacing w:before="0" w:after="283"/>
              <w:jc w:val="left"/>
              <w:rPr>
                <w:sz w:val="4"/>
                <w:szCs w:val="4"/>
              </w:rPr>
            </w:pPr>
            <w:r>
              <w:rPr>
                <w:sz w:val="4"/>
                <w:szCs w:val="4"/>
              </w:rPr>
            </w:r>
          </w:p>
        </w:tc>
      </w:tr>
      <w:tr>
        <w:trPr/>
        <w:tc>
          <w:tcPr>
            <w:tcW w:w="13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4129" w:type="dxa"/>
            <w:gridSpan w:val="10"/>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 June 30, 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4054" w:type="dxa"/>
            <w:gridSpan w:val="10"/>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 June 30, 2023</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1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Software Business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1"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Corporate &amp; Other</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8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Total Consolidated</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1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Software Business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28"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Corporate &amp; Other</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8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Total Consolidated</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111,442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111,442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120,400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28"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120,400</w:t>
            </w:r>
          </w:p>
        </w:tc>
        <w:tc>
          <w:tcPr>
            <w:tcW w:w="218" w:type="dxa"/>
            <w:tcBorders/>
            <w:shd w:fill="CFF0FC" w:val="clear"/>
            <w:vAlign w:val="center"/>
          </w:tcPr>
          <w:p>
            <w:pPr>
              <w:pStyle w:val="TableContents"/>
              <w:bidi w:val="0"/>
              <w:spacing w:before="0" w:after="283"/>
              <w:jc w:val="left"/>
              <w:rPr/>
            </w:pPr>
            <w:r>
              <w:rPr/>
              <w:t> </w:t>
            </w:r>
          </w:p>
        </w:tc>
      </w:tr>
      <w:tr>
        <w:trPr/>
        <w:tc>
          <w:tcPr>
            <w:tcW w:w="134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cost of revenues</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30,935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1"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49"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30,935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27,121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128"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27,121</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Gross profit</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80,507</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80,507</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93,279</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28"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93,279</w:t>
            </w:r>
          </w:p>
        </w:tc>
        <w:tc>
          <w:tcPr>
            <w:tcW w:w="218" w:type="dxa"/>
            <w:tcBorders/>
            <w:shd w:fill="CFF0FC" w:val="clear"/>
            <w:vAlign w:val="center"/>
          </w:tcPr>
          <w:p>
            <w:pPr>
              <w:pStyle w:val="TableContents"/>
              <w:bidi w:val="0"/>
              <w:spacing w:before="0" w:after="283"/>
              <w:jc w:val="left"/>
              <w:rPr/>
            </w:pPr>
            <w:r>
              <w:rPr/>
              <w:t> </w:t>
            </w:r>
          </w:p>
        </w:tc>
      </w:tr>
      <w:tr>
        <w:trPr/>
        <w:tc>
          <w:tcPr>
            <w:tcW w:w="134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operating expenses</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99,236</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6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181,545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49"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280,781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95,521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7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24,466</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119,987</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Loss from operations</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(18,729</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4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6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(181,545</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(200,274</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(2,242</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7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(24,466</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(26,708</w:t>
            </w:r>
          </w:p>
        </w:tc>
        <w:tc>
          <w:tcPr>
            <w:tcW w:w="21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left"/>
        <w:rPr/>
      </w:pPr>
      <w:r>
        <w:rPr/>
        <w:t> </w:t>
      </w:r>
    </w:p>
    <w:tbl>
      <w:tblPr>
        <w:tblW w:w="10205" w:type="dxa"/>
        <w:jc w:val="left"/>
        <w:tblInd w:w="0" w:type="dxa"/>
        <w:tblLayout w:type="fixed"/>
        <w:tblCellMar>
          <w:top w:w="28" w:type="dxa"/>
          <w:left w:w="28" w:type="dxa"/>
          <w:bottom w:w="28" w:type="dxa"/>
          <w:right w:w="28" w:type="dxa"/>
        </w:tblCellMar>
      </w:tblPr>
      <w:tblGrid>
        <w:gridCol w:w="1346"/>
        <w:gridCol w:w="146"/>
        <w:gridCol w:w="237"/>
        <w:gridCol w:w="880"/>
        <w:gridCol w:w="166"/>
        <w:gridCol w:w="146"/>
        <w:gridCol w:w="241"/>
        <w:gridCol w:w="960"/>
        <w:gridCol w:w="166"/>
        <w:gridCol w:w="146"/>
        <w:gridCol w:w="238"/>
        <w:gridCol w:w="949"/>
        <w:gridCol w:w="166"/>
        <w:gridCol w:w="146"/>
        <w:gridCol w:w="237"/>
        <w:gridCol w:w="880"/>
        <w:gridCol w:w="166"/>
        <w:gridCol w:w="146"/>
        <w:gridCol w:w="251"/>
        <w:gridCol w:w="877"/>
        <w:gridCol w:w="166"/>
        <w:gridCol w:w="146"/>
        <w:gridCol w:w="251"/>
        <w:gridCol w:w="934"/>
        <w:gridCol w:w="218"/>
      </w:tblGrid>
      <w:tr>
        <w:trPr/>
        <w:tc>
          <w:tcPr>
            <w:tcW w:w="13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7" w:type="dxa"/>
            <w:tcBorders/>
            <w:vAlign w:val="center"/>
          </w:tcPr>
          <w:p>
            <w:pPr>
              <w:pStyle w:val="TableContents"/>
              <w:bidi w:val="0"/>
              <w:spacing w:before="0" w:after="283"/>
              <w:jc w:val="left"/>
              <w:rPr>
                <w:sz w:val="4"/>
                <w:szCs w:val="4"/>
              </w:rPr>
            </w:pPr>
            <w:r>
              <w:rPr>
                <w:sz w:val="4"/>
                <w:szCs w:val="4"/>
              </w:rPr>
            </w:r>
          </w:p>
        </w:tc>
        <w:tc>
          <w:tcPr>
            <w:tcW w:w="8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41" w:type="dxa"/>
            <w:tcBorders/>
            <w:vAlign w:val="center"/>
          </w:tcPr>
          <w:p>
            <w:pPr>
              <w:pStyle w:val="TableContents"/>
              <w:bidi w:val="0"/>
              <w:spacing w:before="0" w:after="283"/>
              <w:jc w:val="left"/>
              <w:rPr>
                <w:sz w:val="4"/>
                <w:szCs w:val="4"/>
              </w:rPr>
            </w:pPr>
            <w:r>
              <w:rPr>
                <w:sz w:val="4"/>
                <w:szCs w:val="4"/>
              </w:rPr>
            </w:r>
          </w:p>
        </w:tc>
        <w:tc>
          <w:tcPr>
            <w:tcW w:w="96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8" w:type="dxa"/>
            <w:tcBorders/>
            <w:vAlign w:val="center"/>
          </w:tcPr>
          <w:p>
            <w:pPr>
              <w:pStyle w:val="TableContents"/>
              <w:bidi w:val="0"/>
              <w:spacing w:before="0" w:after="283"/>
              <w:jc w:val="left"/>
              <w:rPr>
                <w:sz w:val="4"/>
                <w:szCs w:val="4"/>
              </w:rPr>
            </w:pPr>
            <w:r>
              <w:rPr>
                <w:sz w:val="4"/>
                <w:szCs w:val="4"/>
              </w:rPr>
            </w:r>
          </w:p>
        </w:tc>
        <w:tc>
          <w:tcPr>
            <w:tcW w:w="949"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7" w:type="dxa"/>
            <w:tcBorders/>
            <w:vAlign w:val="center"/>
          </w:tcPr>
          <w:p>
            <w:pPr>
              <w:pStyle w:val="TableContents"/>
              <w:bidi w:val="0"/>
              <w:spacing w:before="0" w:after="283"/>
              <w:jc w:val="left"/>
              <w:rPr>
                <w:sz w:val="4"/>
                <w:szCs w:val="4"/>
              </w:rPr>
            </w:pPr>
            <w:r>
              <w:rPr>
                <w:sz w:val="4"/>
                <w:szCs w:val="4"/>
              </w:rPr>
            </w:r>
          </w:p>
        </w:tc>
        <w:tc>
          <w:tcPr>
            <w:tcW w:w="8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1" w:type="dxa"/>
            <w:tcBorders/>
            <w:vAlign w:val="center"/>
          </w:tcPr>
          <w:p>
            <w:pPr>
              <w:pStyle w:val="TableContents"/>
              <w:bidi w:val="0"/>
              <w:spacing w:before="0" w:after="283"/>
              <w:jc w:val="left"/>
              <w:rPr>
                <w:sz w:val="4"/>
                <w:szCs w:val="4"/>
              </w:rPr>
            </w:pPr>
            <w:r>
              <w:rPr>
                <w:sz w:val="4"/>
                <w:szCs w:val="4"/>
              </w:rPr>
            </w:r>
          </w:p>
        </w:tc>
        <w:tc>
          <w:tcPr>
            <w:tcW w:w="877"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1" w:type="dxa"/>
            <w:tcBorders/>
            <w:vAlign w:val="center"/>
          </w:tcPr>
          <w:p>
            <w:pPr>
              <w:pStyle w:val="TableContents"/>
              <w:bidi w:val="0"/>
              <w:spacing w:before="0" w:after="283"/>
              <w:jc w:val="left"/>
              <w:rPr>
                <w:sz w:val="4"/>
                <w:szCs w:val="4"/>
              </w:rPr>
            </w:pPr>
            <w:r>
              <w:rPr>
                <w:sz w:val="4"/>
                <w:szCs w:val="4"/>
              </w:rPr>
            </w:r>
          </w:p>
        </w:tc>
        <w:tc>
          <w:tcPr>
            <w:tcW w:w="934" w:type="dxa"/>
            <w:tcBorders/>
            <w:vAlign w:val="center"/>
          </w:tcPr>
          <w:p>
            <w:pPr>
              <w:pStyle w:val="TableContents"/>
              <w:bidi w:val="0"/>
              <w:spacing w:before="0" w:after="283"/>
              <w:jc w:val="left"/>
              <w:rPr>
                <w:sz w:val="4"/>
                <w:szCs w:val="4"/>
              </w:rPr>
            </w:pPr>
            <w:r>
              <w:rPr>
                <w:sz w:val="4"/>
                <w:szCs w:val="4"/>
              </w:rPr>
            </w:r>
          </w:p>
        </w:tc>
        <w:tc>
          <w:tcPr>
            <w:tcW w:w="218" w:type="dxa"/>
            <w:tcBorders/>
            <w:vAlign w:val="center"/>
          </w:tcPr>
          <w:p>
            <w:pPr>
              <w:pStyle w:val="TableContents"/>
              <w:bidi w:val="0"/>
              <w:spacing w:before="0" w:after="283"/>
              <w:jc w:val="left"/>
              <w:rPr>
                <w:sz w:val="4"/>
                <w:szCs w:val="4"/>
              </w:rPr>
            </w:pPr>
            <w:r>
              <w:rPr>
                <w:sz w:val="4"/>
                <w:szCs w:val="4"/>
              </w:rPr>
            </w:r>
          </w:p>
        </w:tc>
      </w:tr>
      <w:tr>
        <w:trPr/>
        <w:tc>
          <w:tcPr>
            <w:tcW w:w="13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4129" w:type="dxa"/>
            <w:gridSpan w:val="10"/>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 June 30, 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4054" w:type="dxa"/>
            <w:gridSpan w:val="10"/>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Six Months Ended June 30, 2023</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1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Software Business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1"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Corporate &amp; Other</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8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Total Consolidated</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1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Software Business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28"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Corporate &amp; Other</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8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Total Consolidated</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226,688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226,688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242,315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28"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242,315</w:t>
            </w:r>
          </w:p>
        </w:tc>
        <w:tc>
          <w:tcPr>
            <w:tcW w:w="218" w:type="dxa"/>
            <w:tcBorders/>
            <w:shd w:fill="CFF0FC" w:val="clear"/>
            <w:vAlign w:val="center"/>
          </w:tcPr>
          <w:p>
            <w:pPr>
              <w:pStyle w:val="TableContents"/>
              <w:bidi w:val="0"/>
              <w:spacing w:before="0" w:after="283"/>
              <w:jc w:val="left"/>
              <w:rPr/>
            </w:pPr>
            <w:r>
              <w:rPr/>
              <w:t> </w:t>
            </w:r>
          </w:p>
        </w:tc>
      </w:tr>
      <w:tr>
        <w:trPr/>
        <w:tc>
          <w:tcPr>
            <w:tcW w:w="134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cost of revenues</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60,950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1"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49"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60,950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55,062</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128"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55,062</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Gross profit</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165,738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165,738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187,253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28"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187,253</w:t>
            </w:r>
          </w:p>
        </w:tc>
        <w:tc>
          <w:tcPr>
            <w:tcW w:w="218" w:type="dxa"/>
            <w:tcBorders/>
            <w:shd w:fill="CFF0FC" w:val="clear"/>
            <w:vAlign w:val="center"/>
          </w:tcPr>
          <w:p>
            <w:pPr>
              <w:pStyle w:val="TableContents"/>
              <w:bidi w:val="0"/>
              <w:spacing w:before="0" w:after="283"/>
              <w:jc w:val="left"/>
              <w:rPr/>
            </w:pPr>
            <w:r>
              <w:rPr/>
              <w:t> </w:t>
            </w:r>
          </w:p>
        </w:tc>
      </w:tr>
      <w:tr>
        <w:trPr/>
        <w:tc>
          <w:tcPr>
            <w:tcW w:w="134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operating expenses</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195,359</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6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374,355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49"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569,714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190,008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7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44,260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234,268</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Loss from operations</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(29,621</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4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6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(374,355</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(403,976</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(2,755</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7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(44,260</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(47,015</w:t>
            </w:r>
          </w:p>
        </w:tc>
        <w:tc>
          <w:tcPr>
            <w:tcW w:w="21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left"/>
        <w:rPr/>
      </w:pPr>
      <w:r>
        <w:rPr/>
        <w:t> </w:t>
      </w:r>
    </w:p>
    <w:p>
      <w:pPr>
        <w:pStyle w:val="TextBody"/>
        <w:bidi w:val="0"/>
        <w:jc w:val="left"/>
        <w:rPr>
          <w:rFonts w:ascii="Times New Roman" w:hAnsi="Times New Roman"/>
          <w:color w:val="000000"/>
          <w:sz w:val="20"/>
        </w:rPr>
      </w:pPr>
      <w:r>
        <w:rPr>
          <w:rFonts w:ascii="Times New Roman" w:hAnsi="Times New Roman"/>
          <w:color w:val="000000"/>
          <w:sz w:val="20"/>
        </w:rPr>
        <w:t xml:space="preserve">MicroStrategy manages its business in one reportable operating segment which is engaged in the design, development, marketing, and sales of its software platform through licensing arrangements and cloud subscriptions and related services. Beginning in 2024, MicroStrategy has broken out a Corporate &amp; Other category, which is not considered an operating segment, and includes the impairment charges and other third-party costs associated with its digital asset holdings. </w:t>
      </w:r>
    </w:p>
    <w:p>
      <w:pPr>
        <w:pStyle w:val="TextBody"/>
        <w:bidi w:val="0"/>
        <w:jc w:val="left"/>
        <w:rPr/>
      </w:pPr>
      <w:r>
        <w:rPr/>
        <w:t> </w:t>
      </w:r>
    </w:p>
    <w:p>
      <w:pPr>
        <w:pStyle w:val="HorizontalLine"/>
        <w:pBdr>
          <w:bottom w:val="double" w:sz="2" w:space="0" w:color="808080"/>
        </w:pBdr>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3</Pages>
  <Words>7017</Words>
  <Characters>38886</Characters>
  <CharactersWithSpaces>46677</CharactersWithSpaces>
  <Paragraphs>3390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